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8F329" w14:textId="56908767" w:rsidR="00B95CA5" w:rsidRPr="00F864EC" w:rsidRDefault="00E80A47" w:rsidP="00635ACA">
      <w:pPr>
        <w:shd w:val="clear" w:color="auto" w:fill="FFFFFF"/>
        <w:jc w:val="both"/>
        <w:rPr>
          <w:b/>
          <w:bCs/>
          <w:color w:val="0000FF"/>
          <w:sz w:val="22"/>
          <w:szCs w:val="22"/>
        </w:rPr>
      </w:pPr>
      <w:r w:rsidRPr="00F864EC">
        <w:rPr>
          <w:b/>
          <w:bCs/>
          <w:color w:val="0000FF"/>
          <w:sz w:val="22"/>
          <w:szCs w:val="22"/>
        </w:rPr>
        <w:t xml:space="preserve">PROGRAMME DE TRAVAIL  section 7 </w:t>
      </w:r>
      <w:r w:rsidR="00CF23CA">
        <w:rPr>
          <w:b/>
          <w:bCs/>
          <w:color w:val="0000FF"/>
          <w:sz w:val="22"/>
          <w:szCs w:val="22"/>
        </w:rPr>
        <w:t xml:space="preserve">« Environnement et Territoire </w:t>
      </w:r>
      <w:r w:rsidR="002C7C56" w:rsidRPr="00F864EC">
        <w:rPr>
          <w:b/>
          <w:bCs/>
          <w:color w:val="0000FF"/>
          <w:sz w:val="22"/>
          <w:szCs w:val="22"/>
        </w:rPr>
        <w:t>»</w:t>
      </w:r>
    </w:p>
    <w:p w14:paraId="7D6CCA3F" w14:textId="77777777" w:rsidR="00E80A47" w:rsidRPr="00F864EC" w:rsidRDefault="00E80A47" w:rsidP="00635ACA">
      <w:pPr>
        <w:shd w:val="clear" w:color="auto" w:fill="FFFFFF"/>
        <w:jc w:val="both"/>
        <w:rPr>
          <w:b/>
          <w:bCs/>
          <w:color w:val="0000FF"/>
          <w:sz w:val="22"/>
          <w:szCs w:val="22"/>
        </w:rPr>
      </w:pPr>
    </w:p>
    <w:p w14:paraId="646DE969" w14:textId="77777777" w:rsidR="00091BB9" w:rsidRDefault="00091BB9" w:rsidP="00635ACA">
      <w:pPr>
        <w:jc w:val="both"/>
        <w:rPr>
          <w:sz w:val="22"/>
          <w:szCs w:val="22"/>
        </w:rPr>
      </w:pPr>
    </w:p>
    <w:p w14:paraId="5197D9E8" w14:textId="70398588" w:rsidR="00E80A47" w:rsidRPr="00F864EC" w:rsidRDefault="00C75AF2" w:rsidP="00635ACA">
      <w:pPr>
        <w:jc w:val="both"/>
        <w:rPr>
          <w:sz w:val="22"/>
          <w:szCs w:val="22"/>
        </w:rPr>
      </w:pPr>
      <w:r w:rsidRPr="00F864EC">
        <w:rPr>
          <w:sz w:val="22"/>
          <w:szCs w:val="22"/>
        </w:rPr>
        <w:t>Notre</w:t>
      </w:r>
      <w:r w:rsidR="00E80A47" w:rsidRPr="00F864EC">
        <w:rPr>
          <w:sz w:val="22"/>
          <w:szCs w:val="22"/>
        </w:rPr>
        <w:t xml:space="preserve"> programme de travail s’inscrit dans deux axes du plan d’action de l’AAF</w:t>
      </w:r>
      <w:r w:rsidR="00CF23CA">
        <w:rPr>
          <w:sz w:val="22"/>
          <w:szCs w:val="22"/>
        </w:rPr>
        <w:t xml:space="preserve"> </w:t>
      </w:r>
      <w:r w:rsidRPr="00F864EC">
        <w:rPr>
          <w:sz w:val="22"/>
          <w:szCs w:val="22"/>
        </w:rPr>
        <w:t>:</w:t>
      </w:r>
    </w:p>
    <w:p w14:paraId="498F7F69" w14:textId="60A50F9A" w:rsidR="00E80A47" w:rsidRPr="00F864EC" w:rsidRDefault="00CF23CA" w:rsidP="00635ACA">
      <w:pPr>
        <w:jc w:val="both"/>
        <w:rPr>
          <w:sz w:val="22"/>
          <w:szCs w:val="22"/>
        </w:rPr>
      </w:pPr>
      <w:r>
        <w:rPr>
          <w:sz w:val="22"/>
          <w:szCs w:val="22"/>
        </w:rPr>
        <w:t xml:space="preserve">• </w:t>
      </w:r>
      <w:r w:rsidR="00E80A47" w:rsidRPr="00F864EC">
        <w:rPr>
          <w:sz w:val="22"/>
          <w:szCs w:val="22"/>
        </w:rPr>
        <w:t>Adapter la gestion des écosystèmes agricoles et forestiers aux changements globaux,</w:t>
      </w:r>
    </w:p>
    <w:p w14:paraId="2117A8BA" w14:textId="3CBB3D8D" w:rsidR="00E80A47" w:rsidRPr="00F864EC" w:rsidRDefault="00CF23CA" w:rsidP="00635ACA">
      <w:pPr>
        <w:jc w:val="both"/>
        <w:rPr>
          <w:sz w:val="22"/>
          <w:szCs w:val="22"/>
        </w:rPr>
      </w:pPr>
      <w:r>
        <w:rPr>
          <w:sz w:val="22"/>
          <w:szCs w:val="22"/>
        </w:rPr>
        <w:t xml:space="preserve">• </w:t>
      </w:r>
      <w:r w:rsidR="00E80A47" w:rsidRPr="00F864EC">
        <w:rPr>
          <w:sz w:val="22"/>
          <w:szCs w:val="22"/>
        </w:rPr>
        <w:t>Intégrer les politiques agricoles, environnementales et territoriales face aux défis internationaux,</w:t>
      </w:r>
    </w:p>
    <w:p w14:paraId="4CA6ABA8" w14:textId="77777777" w:rsidR="00C75AF2" w:rsidRPr="00F864EC" w:rsidRDefault="00C75AF2" w:rsidP="00635ACA">
      <w:pPr>
        <w:pStyle w:val="Paragraphedeliste"/>
        <w:ind w:left="0"/>
        <w:jc w:val="both"/>
        <w:rPr>
          <w:rFonts w:ascii="Times New Roman" w:eastAsia="Times New Roman" w:hAnsi="Times New Roman" w:cs="Times New Roman"/>
          <w:sz w:val="22"/>
          <w:szCs w:val="22"/>
          <w:lang w:eastAsia="fr-FR"/>
        </w:rPr>
      </w:pPr>
    </w:p>
    <w:p w14:paraId="23B0A949" w14:textId="0DDEFC8E" w:rsidR="00E80A47" w:rsidRPr="00F864EC" w:rsidRDefault="000B3F03" w:rsidP="00635ACA">
      <w:pPr>
        <w:jc w:val="both"/>
        <w:rPr>
          <w:sz w:val="22"/>
          <w:szCs w:val="22"/>
        </w:rPr>
      </w:pPr>
      <w:r w:rsidRPr="00F864EC">
        <w:rPr>
          <w:sz w:val="22"/>
          <w:szCs w:val="22"/>
        </w:rPr>
        <w:t>La section</w:t>
      </w:r>
      <w:r w:rsidR="002C7C56" w:rsidRPr="00F864EC">
        <w:rPr>
          <w:sz w:val="22"/>
          <w:szCs w:val="22"/>
        </w:rPr>
        <w:t xml:space="preserve"> 7 «  Environnement et Territoires » </w:t>
      </w:r>
      <w:r w:rsidR="0071771F">
        <w:rPr>
          <w:sz w:val="22"/>
          <w:szCs w:val="22"/>
        </w:rPr>
        <w:t>traite du</w:t>
      </w:r>
      <w:r w:rsidRPr="00F864EC">
        <w:rPr>
          <w:sz w:val="22"/>
          <w:szCs w:val="22"/>
        </w:rPr>
        <w:t xml:space="preserve"> développement des territoires p</w:t>
      </w:r>
      <w:r w:rsidR="00635ACA">
        <w:rPr>
          <w:sz w:val="22"/>
          <w:szCs w:val="22"/>
        </w:rPr>
        <w:t>a</w:t>
      </w:r>
      <w:r w:rsidRPr="00F864EC">
        <w:rPr>
          <w:sz w:val="22"/>
          <w:szCs w:val="22"/>
        </w:rPr>
        <w:t>r la gestion des biens communs environnementaux</w:t>
      </w:r>
      <w:r w:rsidR="000257BE" w:rsidRPr="00F864EC">
        <w:rPr>
          <w:sz w:val="22"/>
          <w:szCs w:val="22"/>
        </w:rPr>
        <w:t xml:space="preserve"> (eau, sol, biodiversité) dans un monde aux ressources limitées. </w:t>
      </w:r>
      <w:r w:rsidRPr="00F864EC">
        <w:rPr>
          <w:sz w:val="22"/>
          <w:szCs w:val="22"/>
        </w:rPr>
        <w:t>L</w:t>
      </w:r>
      <w:r w:rsidR="000257BE" w:rsidRPr="00F864EC">
        <w:rPr>
          <w:sz w:val="22"/>
          <w:szCs w:val="22"/>
        </w:rPr>
        <w:t>a recomposition</w:t>
      </w:r>
      <w:r w:rsidRPr="00F864EC">
        <w:rPr>
          <w:sz w:val="22"/>
          <w:szCs w:val="22"/>
        </w:rPr>
        <w:t xml:space="preserve"> </w:t>
      </w:r>
      <w:r w:rsidR="002C7C56" w:rsidRPr="00F864EC">
        <w:rPr>
          <w:sz w:val="22"/>
          <w:szCs w:val="22"/>
        </w:rPr>
        <w:t>actuelle</w:t>
      </w:r>
      <w:r w:rsidRPr="00F864EC">
        <w:rPr>
          <w:sz w:val="22"/>
          <w:szCs w:val="22"/>
        </w:rPr>
        <w:t xml:space="preserve"> </w:t>
      </w:r>
      <w:r w:rsidR="00E80A47" w:rsidRPr="00F864EC">
        <w:rPr>
          <w:sz w:val="22"/>
          <w:szCs w:val="22"/>
        </w:rPr>
        <w:t>des rapports entre agriculture, environnement et territoires</w:t>
      </w:r>
      <w:r w:rsidRPr="00F864EC">
        <w:rPr>
          <w:sz w:val="22"/>
          <w:szCs w:val="22"/>
        </w:rPr>
        <w:t xml:space="preserve"> invite à </w:t>
      </w:r>
      <w:r w:rsidR="000257BE" w:rsidRPr="00F864EC">
        <w:rPr>
          <w:sz w:val="22"/>
          <w:szCs w:val="22"/>
        </w:rPr>
        <w:t>accroitre la</w:t>
      </w:r>
      <w:r w:rsidRPr="00F864EC">
        <w:rPr>
          <w:sz w:val="22"/>
          <w:szCs w:val="22"/>
        </w:rPr>
        <w:t xml:space="preserve"> </w:t>
      </w:r>
      <w:r w:rsidR="00E80A47" w:rsidRPr="00F864EC">
        <w:rPr>
          <w:sz w:val="22"/>
          <w:szCs w:val="22"/>
        </w:rPr>
        <w:t>transversalité</w:t>
      </w:r>
      <w:r w:rsidRPr="00F864EC">
        <w:rPr>
          <w:sz w:val="22"/>
          <w:szCs w:val="22"/>
        </w:rPr>
        <w:t xml:space="preserve"> </w:t>
      </w:r>
      <w:r w:rsidR="000257BE" w:rsidRPr="00F864EC">
        <w:rPr>
          <w:sz w:val="22"/>
          <w:szCs w:val="22"/>
        </w:rPr>
        <w:t xml:space="preserve">des travaux avec </w:t>
      </w:r>
      <w:r w:rsidRPr="00F864EC">
        <w:rPr>
          <w:sz w:val="22"/>
          <w:szCs w:val="22"/>
        </w:rPr>
        <w:t>les autres sections</w:t>
      </w:r>
      <w:r w:rsidR="000257BE" w:rsidRPr="00F864EC">
        <w:rPr>
          <w:sz w:val="22"/>
          <w:szCs w:val="22"/>
        </w:rPr>
        <w:t xml:space="preserve"> pour </w:t>
      </w:r>
      <w:r w:rsidR="002C7C56" w:rsidRPr="00F864EC">
        <w:rPr>
          <w:sz w:val="22"/>
          <w:szCs w:val="22"/>
        </w:rPr>
        <w:t xml:space="preserve">que la </w:t>
      </w:r>
      <w:r w:rsidR="002C7C56" w:rsidRPr="00F864EC">
        <w:rPr>
          <w:b/>
          <w:bCs/>
          <w:sz w:val="22"/>
          <w:szCs w:val="22"/>
        </w:rPr>
        <w:t>transition agro-éco</w:t>
      </w:r>
      <w:r w:rsidR="0006278F" w:rsidRPr="00F864EC">
        <w:rPr>
          <w:b/>
          <w:bCs/>
          <w:sz w:val="22"/>
          <w:szCs w:val="22"/>
        </w:rPr>
        <w:t>logique</w:t>
      </w:r>
      <w:r w:rsidR="0006278F" w:rsidRPr="00F864EC">
        <w:rPr>
          <w:sz w:val="22"/>
          <w:szCs w:val="22"/>
        </w:rPr>
        <w:t xml:space="preserve"> </w:t>
      </w:r>
      <w:r w:rsidR="002C7C56" w:rsidRPr="00F864EC">
        <w:rPr>
          <w:sz w:val="22"/>
          <w:szCs w:val="22"/>
        </w:rPr>
        <w:t>en cours tienne compte des</w:t>
      </w:r>
      <w:r w:rsidR="000257BE" w:rsidRPr="00F864EC">
        <w:rPr>
          <w:sz w:val="22"/>
          <w:szCs w:val="22"/>
        </w:rPr>
        <w:t xml:space="preserve"> changements environnementaux globaux</w:t>
      </w:r>
      <w:r w:rsidR="00D55ABC" w:rsidRPr="00F864EC">
        <w:rPr>
          <w:sz w:val="22"/>
          <w:szCs w:val="22"/>
        </w:rPr>
        <w:t xml:space="preserve"> (climat,</w:t>
      </w:r>
      <w:r w:rsidR="00BB0EF1" w:rsidRPr="00F864EC">
        <w:rPr>
          <w:sz w:val="22"/>
          <w:szCs w:val="22"/>
        </w:rPr>
        <w:t xml:space="preserve"> </w:t>
      </w:r>
      <w:r w:rsidR="00D55ABC" w:rsidRPr="00F864EC">
        <w:rPr>
          <w:sz w:val="22"/>
          <w:szCs w:val="22"/>
        </w:rPr>
        <w:t>énergie, agriculture, alimentation,</w:t>
      </w:r>
      <w:r w:rsidR="00BB0EF1" w:rsidRPr="00F864EC">
        <w:rPr>
          <w:sz w:val="22"/>
          <w:szCs w:val="22"/>
        </w:rPr>
        <w:t xml:space="preserve"> urbanisation, </w:t>
      </w:r>
      <w:r w:rsidR="000257BE" w:rsidRPr="00F864EC">
        <w:rPr>
          <w:sz w:val="22"/>
          <w:szCs w:val="22"/>
        </w:rPr>
        <w:t>risques</w:t>
      </w:r>
      <w:r w:rsidR="00BB0EF1" w:rsidRPr="00F864EC">
        <w:rPr>
          <w:sz w:val="22"/>
          <w:szCs w:val="22"/>
        </w:rPr>
        <w:t xml:space="preserve"> </w:t>
      </w:r>
      <w:r w:rsidR="000257BE" w:rsidRPr="00F864EC">
        <w:rPr>
          <w:sz w:val="22"/>
          <w:szCs w:val="22"/>
        </w:rPr>
        <w:t>naturels</w:t>
      </w:r>
      <w:r w:rsidR="00BB0EF1" w:rsidRPr="00F864EC">
        <w:rPr>
          <w:sz w:val="22"/>
          <w:szCs w:val="22"/>
        </w:rPr>
        <w:t xml:space="preserve">…), </w:t>
      </w:r>
      <w:r w:rsidR="000257BE" w:rsidRPr="00F864EC">
        <w:rPr>
          <w:sz w:val="22"/>
          <w:szCs w:val="22"/>
        </w:rPr>
        <w:t xml:space="preserve">mais aussi </w:t>
      </w:r>
      <w:r w:rsidR="002C7C56" w:rsidRPr="00F864EC">
        <w:rPr>
          <w:sz w:val="22"/>
          <w:szCs w:val="22"/>
        </w:rPr>
        <w:t>des</w:t>
      </w:r>
      <w:r w:rsidR="000257BE" w:rsidRPr="00F864EC">
        <w:rPr>
          <w:sz w:val="22"/>
          <w:szCs w:val="22"/>
        </w:rPr>
        <w:t xml:space="preserve"> vulnérabilités sociales, économiques et</w:t>
      </w:r>
      <w:r w:rsidR="0082717D" w:rsidRPr="00F864EC">
        <w:rPr>
          <w:sz w:val="22"/>
          <w:szCs w:val="22"/>
        </w:rPr>
        <w:t xml:space="preserve"> </w:t>
      </w:r>
      <w:r w:rsidR="00CF23CA">
        <w:rPr>
          <w:sz w:val="22"/>
          <w:szCs w:val="22"/>
        </w:rPr>
        <w:t>culturelles.</w:t>
      </w:r>
    </w:p>
    <w:p w14:paraId="592F81FA" w14:textId="6B20DA7D" w:rsidR="00F864EC" w:rsidRDefault="00F864EC" w:rsidP="00635ACA">
      <w:pPr>
        <w:jc w:val="both"/>
        <w:rPr>
          <w:sz w:val="22"/>
          <w:szCs w:val="22"/>
        </w:rPr>
      </w:pPr>
    </w:p>
    <w:p w14:paraId="30DE1690" w14:textId="77777777" w:rsidR="00091BB9" w:rsidRDefault="00091BB9" w:rsidP="00635ACA">
      <w:pPr>
        <w:jc w:val="both"/>
        <w:rPr>
          <w:sz w:val="22"/>
          <w:szCs w:val="22"/>
        </w:rPr>
      </w:pPr>
    </w:p>
    <w:p w14:paraId="0BF1E578" w14:textId="77777777" w:rsidR="00091BB9" w:rsidRPr="00F864EC" w:rsidRDefault="00091BB9" w:rsidP="00635ACA">
      <w:pPr>
        <w:jc w:val="both"/>
        <w:rPr>
          <w:sz w:val="22"/>
          <w:szCs w:val="22"/>
        </w:rPr>
      </w:pPr>
    </w:p>
    <w:p w14:paraId="4F2876CC" w14:textId="5C55496A" w:rsidR="0082717D" w:rsidRPr="00F864EC" w:rsidRDefault="00F864EC" w:rsidP="00635ACA">
      <w:pPr>
        <w:pStyle w:val="Paragraphedeliste"/>
        <w:ind w:left="0"/>
        <w:jc w:val="both"/>
        <w:rPr>
          <w:rFonts w:ascii="Times New Roman" w:hAnsi="Times New Roman" w:cs="Times New Roman"/>
          <w:sz w:val="22"/>
          <w:szCs w:val="22"/>
        </w:rPr>
      </w:pPr>
      <w:r w:rsidRPr="00D74B0B">
        <w:rPr>
          <w:rFonts w:ascii="Times New Roman" w:hAnsi="Times New Roman" w:cs="Times New Roman"/>
          <w:b/>
          <w:bCs/>
          <w:smallCaps/>
          <w:sz w:val="22"/>
          <w:szCs w:val="22"/>
        </w:rPr>
        <w:t>1</w:t>
      </w:r>
      <w:r w:rsidR="00C75AF2" w:rsidRPr="00D74B0B">
        <w:rPr>
          <w:rFonts w:ascii="Times New Roman" w:hAnsi="Times New Roman" w:cs="Times New Roman"/>
          <w:b/>
          <w:bCs/>
          <w:smallCaps/>
          <w:sz w:val="22"/>
          <w:szCs w:val="22"/>
        </w:rPr>
        <w:t>.</w:t>
      </w:r>
      <w:r w:rsidR="00C75AF2" w:rsidRPr="00D74B0B">
        <w:rPr>
          <w:rFonts w:ascii="Times New Roman" w:hAnsi="Times New Roman" w:cs="Times New Roman"/>
          <w:smallCaps/>
          <w:sz w:val="22"/>
          <w:szCs w:val="22"/>
        </w:rPr>
        <w:t xml:space="preserve"> </w:t>
      </w:r>
      <w:r w:rsidR="0082717D" w:rsidRPr="00D74B0B">
        <w:rPr>
          <w:rFonts w:ascii="Times New Roman" w:hAnsi="Times New Roman" w:cs="Times New Roman"/>
          <w:smallCaps/>
          <w:sz w:val="22"/>
          <w:szCs w:val="22"/>
        </w:rPr>
        <w:t xml:space="preserve"> </w:t>
      </w:r>
      <w:r w:rsidR="0082717D" w:rsidRPr="00D74B0B">
        <w:rPr>
          <w:rFonts w:ascii="Times New Roman" w:hAnsi="Times New Roman" w:cs="Times New Roman"/>
          <w:b/>
          <w:smallCaps/>
          <w:sz w:val="22"/>
          <w:szCs w:val="22"/>
        </w:rPr>
        <w:t>Transition agro-écologique et territoires</w:t>
      </w:r>
      <w:r w:rsidR="0082717D" w:rsidRPr="00F864EC">
        <w:rPr>
          <w:rFonts w:ascii="Times New Roman" w:hAnsi="Times New Roman" w:cs="Times New Roman"/>
          <w:b/>
          <w:sz w:val="22"/>
          <w:szCs w:val="22"/>
        </w:rPr>
        <w:t xml:space="preserve"> : </w:t>
      </w:r>
      <w:r w:rsidR="0082717D" w:rsidRPr="00F864EC">
        <w:rPr>
          <w:rFonts w:ascii="Times New Roman" w:hAnsi="Times New Roman" w:cs="Times New Roman"/>
          <w:sz w:val="22"/>
          <w:szCs w:val="22"/>
        </w:rPr>
        <w:t xml:space="preserve">responsable Alain Vidal </w:t>
      </w:r>
      <w:r w:rsidR="00C75AF2" w:rsidRPr="00F864EC">
        <w:rPr>
          <w:rFonts w:ascii="Times New Roman" w:hAnsi="Times New Roman" w:cs="Times New Roman"/>
          <w:sz w:val="22"/>
          <w:szCs w:val="22"/>
        </w:rPr>
        <w:t xml:space="preserve">et </w:t>
      </w:r>
      <w:r w:rsidR="0062528B" w:rsidRPr="00F864EC">
        <w:rPr>
          <w:rFonts w:ascii="Times New Roman" w:hAnsi="Times New Roman" w:cs="Times New Roman"/>
          <w:sz w:val="22"/>
          <w:szCs w:val="22"/>
        </w:rPr>
        <w:t>al.</w:t>
      </w:r>
    </w:p>
    <w:p w14:paraId="58D952F4" w14:textId="0FC9B0DC" w:rsidR="0062528B" w:rsidRPr="00F864EC" w:rsidRDefault="00CF23CA" w:rsidP="00635ACA">
      <w:pPr>
        <w:jc w:val="both"/>
        <w:rPr>
          <w:sz w:val="22"/>
          <w:szCs w:val="22"/>
        </w:rPr>
      </w:pPr>
      <w:r>
        <w:rPr>
          <w:sz w:val="22"/>
          <w:szCs w:val="22"/>
        </w:rPr>
        <w:t xml:space="preserve">La « transition agroécologique </w:t>
      </w:r>
      <w:r w:rsidR="0062528B" w:rsidRPr="00F864EC">
        <w:rPr>
          <w:sz w:val="22"/>
          <w:szCs w:val="22"/>
        </w:rPr>
        <w:t xml:space="preserve">», qui a désormais sa </w:t>
      </w:r>
      <w:hyperlink r:id="rId7">
        <w:r w:rsidR="0062528B" w:rsidRPr="00F864EC">
          <w:rPr>
            <w:rStyle w:val="LienInternet"/>
            <w:sz w:val="22"/>
            <w:szCs w:val="22"/>
          </w:rPr>
          <w:t>page dédiée sur le site du Ministère</w:t>
        </w:r>
      </w:hyperlink>
      <w:r w:rsidR="0062528B" w:rsidRPr="00F864EC">
        <w:rPr>
          <w:sz w:val="22"/>
          <w:szCs w:val="22"/>
        </w:rPr>
        <w:t xml:space="preserve">, oscille entre une vision productiviste (maintien du revenu des agriculteurs, souveraineté alimentaire, sauvegarde de la filière betterave, nouvelle PAC, etc.) et une vision plus résolument écologique (initiative 4p1000, sortie du glyphosate, arrêt des néocotinoïdes, </w:t>
      </w:r>
      <w:r w:rsidR="0062528B" w:rsidRPr="00F864EC">
        <w:rPr>
          <w:i/>
          <w:iCs/>
          <w:sz w:val="22"/>
          <w:szCs w:val="22"/>
        </w:rPr>
        <w:t xml:space="preserve">Green Deal </w:t>
      </w:r>
      <w:r w:rsidR="0062528B" w:rsidRPr="00F864EC">
        <w:rPr>
          <w:sz w:val="22"/>
          <w:szCs w:val="22"/>
        </w:rPr>
        <w:t>européen, etc.</w:t>
      </w:r>
      <w:r w:rsidR="007068E2">
        <w:rPr>
          <w:sz w:val="22"/>
          <w:szCs w:val="22"/>
        </w:rPr>
        <w:t>)</w:t>
      </w:r>
      <w:r w:rsidR="0062528B" w:rsidRPr="00F864EC">
        <w:rPr>
          <w:sz w:val="22"/>
          <w:szCs w:val="22"/>
        </w:rPr>
        <w:t xml:space="preserve"> où l’intégrité écologique des sols et des paysages agricoles est à préserver, restaurer et régénérer, tout en assurant une meilleur</w:t>
      </w:r>
      <w:r>
        <w:rPr>
          <w:sz w:val="22"/>
          <w:szCs w:val="22"/>
        </w:rPr>
        <w:t>e résilience des exploitations.</w:t>
      </w:r>
    </w:p>
    <w:p w14:paraId="24504737" w14:textId="77777777" w:rsidR="0062528B" w:rsidRPr="00F864EC" w:rsidRDefault="0062528B" w:rsidP="00635ACA">
      <w:pPr>
        <w:jc w:val="both"/>
        <w:rPr>
          <w:sz w:val="22"/>
          <w:szCs w:val="22"/>
        </w:rPr>
      </w:pPr>
    </w:p>
    <w:p w14:paraId="36C8C406" w14:textId="48436DB8" w:rsidR="0062528B" w:rsidRPr="00F864EC" w:rsidRDefault="0062528B" w:rsidP="00635ACA">
      <w:pPr>
        <w:jc w:val="both"/>
        <w:rPr>
          <w:sz w:val="22"/>
          <w:szCs w:val="22"/>
        </w:rPr>
      </w:pPr>
      <w:r w:rsidRPr="00F864EC">
        <w:rPr>
          <w:sz w:val="22"/>
          <w:szCs w:val="22"/>
        </w:rPr>
        <w:t xml:space="preserve">Cependant, on observe une accélération d’une demande sociétale pour des modes de production plus respectueux de l’environnement et de la santé et qui prendraient mieux en compte la dimension sociale et les conditions de vie en milieu rural, </w:t>
      </w:r>
      <w:r w:rsidR="00383A3C">
        <w:rPr>
          <w:sz w:val="22"/>
          <w:szCs w:val="22"/>
        </w:rPr>
        <w:t xml:space="preserve">deux aspects </w:t>
      </w:r>
      <w:r w:rsidRPr="00F864EC">
        <w:rPr>
          <w:sz w:val="22"/>
          <w:szCs w:val="22"/>
        </w:rPr>
        <w:t>dont les gouvernements</w:t>
      </w:r>
      <w:r w:rsidR="00F864EC">
        <w:rPr>
          <w:sz w:val="22"/>
          <w:szCs w:val="22"/>
        </w:rPr>
        <w:t xml:space="preserve"> </w:t>
      </w:r>
      <w:r w:rsidRPr="00F864EC">
        <w:rPr>
          <w:sz w:val="22"/>
          <w:szCs w:val="22"/>
        </w:rPr>
        <w:t xml:space="preserve">ont plus de mal à se saisir que certains acteurs économiques. </w:t>
      </w:r>
      <w:r w:rsidR="00C86AE6">
        <w:rPr>
          <w:sz w:val="22"/>
          <w:szCs w:val="22"/>
        </w:rPr>
        <w:t>E</w:t>
      </w:r>
      <w:r w:rsidRPr="00F864EC">
        <w:rPr>
          <w:sz w:val="22"/>
          <w:szCs w:val="22"/>
        </w:rPr>
        <w:t>n témoignent l’émergence, à l’initiative d’entreprises et d’ONG françaises, des indicateurs Nutri-Score et Eco-Score, qui se propagent rapidement en Europe</w:t>
      </w:r>
      <w:r w:rsidR="00086123">
        <w:rPr>
          <w:sz w:val="22"/>
          <w:szCs w:val="22"/>
        </w:rPr>
        <w:t>,</w:t>
      </w:r>
      <w:r w:rsidRPr="00F864EC">
        <w:rPr>
          <w:sz w:val="22"/>
          <w:szCs w:val="22"/>
        </w:rPr>
        <w:t xml:space="preserve"> et l’accroissement de la demande de produits issus de l’Agriculture </w:t>
      </w:r>
      <w:r w:rsidR="00635ACA">
        <w:rPr>
          <w:sz w:val="22"/>
          <w:szCs w:val="22"/>
        </w:rPr>
        <w:t>b</w:t>
      </w:r>
      <w:r w:rsidRPr="00F864EC">
        <w:rPr>
          <w:sz w:val="22"/>
          <w:szCs w:val="22"/>
        </w:rPr>
        <w:t xml:space="preserve">iologique. S’ajoutant à une accumulation des initiatives (Haute </w:t>
      </w:r>
      <w:r w:rsidR="00635ACA">
        <w:rPr>
          <w:sz w:val="22"/>
          <w:szCs w:val="22"/>
        </w:rPr>
        <w:t>v</w:t>
      </w:r>
      <w:r w:rsidRPr="00F864EC">
        <w:rPr>
          <w:sz w:val="22"/>
          <w:szCs w:val="22"/>
        </w:rPr>
        <w:t xml:space="preserve">aleur </w:t>
      </w:r>
      <w:r w:rsidR="00635ACA">
        <w:rPr>
          <w:sz w:val="22"/>
          <w:szCs w:val="22"/>
        </w:rPr>
        <w:t>e</w:t>
      </w:r>
      <w:r w:rsidRPr="00F864EC">
        <w:rPr>
          <w:sz w:val="22"/>
          <w:szCs w:val="22"/>
        </w:rPr>
        <w:t xml:space="preserve">nvironnementale, Bas </w:t>
      </w:r>
      <w:r w:rsidR="00635ACA">
        <w:rPr>
          <w:sz w:val="22"/>
          <w:szCs w:val="22"/>
        </w:rPr>
        <w:t>c</w:t>
      </w:r>
      <w:r w:rsidRPr="00F864EC">
        <w:rPr>
          <w:sz w:val="22"/>
          <w:szCs w:val="22"/>
        </w:rPr>
        <w:t>arbone, et autres certifications) sans coordination efficace dans la mise en œuvre, qu’</w:t>
      </w:r>
      <w:r w:rsidR="00CF23CA">
        <w:rPr>
          <w:sz w:val="22"/>
          <w:szCs w:val="22"/>
        </w:rPr>
        <w:t xml:space="preserve">en retiennent les consommateurs </w:t>
      </w:r>
      <w:r w:rsidRPr="00F864EC">
        <w:rPr>
          <w:sz w:val="22"/>
          <w:szCs w:val="22"/>
        </w:rPr>
        <w:t>?</w:t>
      </w:r>
    </w:p>
    <w:p w14:paraId="4F14F91D" w14:textId="77777777" w:rsidR="0062528B" w:rsidRPr="00F864EC" w:rsidRDefault="0062528B" w:rsidP="00635ACA">
      <w:pPr>
        <w:jc w:val="both"/>
        <w:rPr>
          <w:sz w:val="22"/>
          <w:szCs w:val="22"/>
        </w:rPr>
      </w:pPr>
    </w:p>
    <w:p w14:paraId="72A5ACB1" w14:textId="11830816" w:rsidR="0062528B" w:rsidRPr="00F864EC" w:rsidRDefault="0062528B" w:rsidP="00635ACA">
      <w:pPr>
        <w:jc w:val="both"/>
        <w:rPr>
          <w:sz w:val="22"/>
          <w:szCs w:val="22"/>
        </w:rPr>
      </w:pPr>
      <w:r w:rsidRPr="00F864EC">
        <w:rPr>
          <w:sz w:val="22"/>
          <w:szCs w:val="22"/>
        </w:rPr>
        <w:t>On observe aussi l’émergence d’</w:t>
      </w:r>
      <w:r w:rsidR="00086123">
        <w:rPr>
          <w:sz w:val="22"/>
          <w:szCs w:val="22"/>
        </w:rPr>
        <w:t xml:space="preserve">autres </w:t>
      </w:r>
      <w:r w:rsidRPr="00F864EC">
        <w:rPr>
          <w:sz w:val="22"/>
          <w:szCs w:val="22"/>
        </w:rPr>
        <w:t xml:space="preserve">initiatives menées par des multinationales, comme la coalition </w:t>
      </w:r>
      <w:hyperlink r:id="rId8">
        <w:r w:rsidRPr="00F864EC">
          <w:rPr>
            <w:rStyle w:val="LienInternet"/>
            <w:i/>
            <w:iCs/>
            <w:sz w:val="22"/>
            <w:szCs w:val="22"/>
          </w:rPr>
          <w:t>One Planet Business for Biodiversity</w:t>
        </w:r>
        <w:r w:rsidRPr="00F864EC">
          <w:rPr>
            <w:rStyle w:val="LienInternet"/>
            <w:sz w:val="22"/>
            <w:szCs w:val="22"/>
          </w:rPr>
          <w:t xml:space="preserve"> (OP2B)</w:t>
        </w:r>
      </w:hyperlink>
      <w:r w:rsidRPr="00F864EC">
        <w:rPr>
          <w:sz w:val="22"/>
          <w:szCs w:val="22"/>
        </w:rPr>
        <w:t xml:space="preserve"> lancée par Danone en 2019, qui regroupe aujourd’hui près d’une trentaine de grandes entreprises de l’agro-alimentaire, de la confection, de la parfumerie et de la finance, pour promouvoir une transition vers </w:t>
      </w:r>
      <w:r w:rsidR="00CF23CA">
        <w:rPr>
          <w:sz w:val="22"/>
          <w:szCs w:val="22"/>
        </w:rPr>
        <w:t xml:space="preserve">une « agriculture régénératrice </w:t>
      </w:r>
      <w:r w:rsidRPr="00F864EC">
        <w:rPr>
          <w:sz w:val="22"/>
          <w:szCs w:val="22"/>
        </w:rPr>
        <w:t xml:space="preserve">», en en déclinant les implications pour les entreprises, les consommateurs, les agriculteurs et les pouvoir publics. </w:t>
      </w:r>
    </w:p>
    <w:p w14:paraId="10A9D11D" w14:textId="2F1A0F9D" w:rsidR="00B64C84" w:rsidRPr="00F864EC" w:rsidRDefault="00B64C84" w:rsidP="00635ACA">
      <w:pPr>
        <w:jc w:val="both"/>
        <w:rPr>
          <w:sz w:val="22"/>
          <w:szCs w:val="22"/>
        </w:rPr>
      </w:pPr>
    </w:p>
    <w:p w14:paraId="384A43FD" w14:textId="4E427386" w:rsidR="00080351" w:rsidRPr="00F864EC" w:rsidRDefault="00B64C84" w:rsidP="00635ACA">
      <w:pPr>
        <w:jc w:val="both"/>
        <w:rPr>
          <w:sz w:val="22"/>
          <w:szCs w:val="22"/>
        </w:rPr>
      </w:pPr>
      <w:r w:rsidRPr="00F864EC">
        <w:rPr>
          <w:sz w:val="22"/>
          <w:szCs w:val="22"/>
        </w:rPr>
        <w:t>Nous nous interrogeons sur les</w:t>
      </w:r>
      <w:r w:rsidR="00080351" w:rsidRPr="00F864EC">
        <w:rPr>
          <w:sz w:val="22"/>
          <w:szCs w:val="22"/>
        </w:rPr>
        <w:t xml:space="preserve"> visions de notre économie, de notre agriculture et de notre assiette sous-tend</w:t>
      </w:r>
      <w:r w:rsidRPr="00F864EC">
        <w:rPr>
          <w:sz w:val="22"/>
          <w:szCs w:val="22"/>
        </w:rPr>
        <w:t>ues par</w:t>
      </w:r>
      <w:r w:rsidR="00080351" w:rsidRPr="00F864EC">
        <w:rPr>
          <w:sz w:val="22"/>
          <w:szCs w:val="22"/>
        </w:rPr>
        <w:t xml:space="preserve"> ces initiatives</w:t>
      </w:r>
      <w:r w:rsidRPr="00F864EC">
        <w:rPr>
          <w:sz w:val="22"/>
          <w:szCs w:val="22"/>
        </w:rPr>
        <w:t>. Comment s’appuient-elles sur les sciences de l’environnement et de l’agriculture, sur les théo</w:t>
      </w:r>
      <w:r w:rsidR="00CF23CA">
        <w:rPr>
          <w:sz w:val="22"/>
          <w:szCs w:val="22"/>
        </w:rPr>
        <w:t xml:space="preserve">ries et indicateurs économiques </w:t>
      </w:r>
      <w:r w:rsidRPr="00F864EC">
        <w:rPr>
          <w:sz w:val="22"/>
          <w:szCs w:val="22"/>
        </w:rPr>
        <w:t xml:space="preserve">? Quelle place font-elles </w:t>
      </w:r>
      <w:r w:rsidR="00080351" w:rsidRPr="00F864EC">
        <w:rPr>
          <w:sz w:val="22"/>
          <w:szCs w:val="22"/>
        </w:rPr>
        <w:t xml:space="preserve">aux agriculteurs, aux consommateurs, et aux jeunes générations? </w:t>
      </w:r>
      <w:r w:rsidR="005B71A5">
        <w:rPr>
          <w:sz w:val="22"/>
          <w:szCs w:val="22"/>
        </w:rPr>
        <w:t>Comment y rép</w:t>
      </w:r>
      <w:r w:rsidR="00CF23CA">
        <w:rPr>
          <w:sz w:val="22"/>
          <w:szCs w:val="22"/>
        </w:rPr>
        <w:t xml:space="preserve">ondent les politiques publiques </w:t>
      </w:r>
      <w:r w:rsidR="005B71A5">
        <w:rPr>
          <w:sz w:val="22"/>
          <w:szCs w:val="22"/>
        </w:rPr>
        <w:t>?</w:t>
      </w:r>
      <w:r w:rsidR="009F0FD1" w:rsidRPr="009F0FD1">
        <w:rPr>
          <w:sz w:val="22"/>
          <w:szCs w:val="22"/>
        </w:rPr>
        <w:t xml:space="preserve"> </w:t>
      </w:r>
      <w:r w:rsidR="009F0FD1">
        <w:rPr>
          <w:sz w:val="22"/>
          <w:szCs w:val="22"/>
        </w:rPr>
        <w:t>Quelles co</w:t>
      </w:r>
      <w:r w:rsidR="00CF23CA">
        <w:rPr>
          <w:sz w:val="22"/>
          <w:szCs w:val="22"/>
        </w:rPr>
        <w:t xml:space="preserve">nséquences dans les territoires </w:t>
      </w:r>
      <w:r w:rsidR="009F0FD1">
        <w:rPr>
          <w:sz w:val="22"/>
          <w:szCs w:val="22"/>
        </w:rPr>
        <w:t>?</w:t>
      </w:r>
    </w:p>
    <w:p w14:paraId="3428DF6C" w14:textId="1F1011EC" w:rsidR="00F97E52" w:rsidRPr="00F864EC" w:rsidRDefault="00F97E52" w:rsidP="00635ACA">
      <w:pPr>
        <w:jc w:val="both"/>
        <w:rPr>
          <w:sz w:val="22"/>
          <w:szCs w:val="22"/>
        </w:rPr>
      </w:pPr>
    </w:p>
    <w:p w14:paraId="0CF95244" w14:textId="177627FE" w:rsidR="00F97E52" w:rsidRPr="00F864EC" w:rsidRDefault="00F97E52" w:rsidP="00635ACA">
      <w:pPr>
        <w:jc w:val="both"/>
        <w:rPr>
          <w:sz w:val="22"/>
          <w:szCs w:val="22"/>
        </w:rPr>
      </w:pPr>
      <w:r w:rsidRPr="00F864EC">
        <w:rPr>
          <w:sz w:val="22"/>
          <w:szCs w:val="22"/>
        </w:rPr>
        <w:t xml:space="preserve">Trois séances de l’Académie </w:t>
      </w:r>
      <w:r w:rsidR="00852A37">
        <w:rPr>
          <w:sz w:val="22"/>
          <w:szCs w:val="22"/>
        </w:rPr>
        <w:t>et deux pistes de réflexion se rattachent à</w:t>
      </w:r>
      <w:r w:rsidRPr="00F864EC">
        <w:rPr>
          <w:sz w:val="22"/>
          <w:szCs w:val="22"/>
        </w:rPr>
        <w:t xml:space="preserve"> cet axe fédérateur :</w:t>
      </w:r>
    </w:p>
    <w:p w14:paraId="53D5BFC9" w14:textId="77777777" w:rsidR="00F97E52" w:rsidRPr="00F864EC" w:rsidRDefault="00F97E52" w:rsidP="00635ACA">
      <w:pPr>
        <w:jc w:val="both"/>
        <w:rPr>
          <w:sz w:val="22"/>
          <w:szCs w:val="22"/>
        </w:rPr>
      </w:pPr>
    </w:p>
    <w:p w14:paraId="4A2B6DFE" w14:textId="4EEE4E16" w:rsidR="00F97E52" w:rsidRPr="00F864EC" w:rsidRDefault="00F864EC" w:rsidP="00635ACA">
      <w:pPr>
        <w:jc w:val="both"/>
        <w:rPr>
          <w:bCs/>
          <w:sz w:val="22"/>
          <w:szCs w:val="22"/>
          <w:lang w:bidi="fr-FR"/>
        </w:rPr>
      </w:pPr>
      <w:r>
        <w:rPr>
          <w:b/>
          <w:sz w:val="22"/>
          <w:szCs w:val="22"/>
          <w:lang w:bidi="fr-FR"/>
        </w:rPr>
        <w:t>• </w:t>
      </w:r>
      <w:r w:rsidR="00F97E52" w:rsidRPr="00F864EC">
        <w:rPr>
          <w:b/>
          <w:sz w:val="22"/>
          <w:szCs w:val="22"/>
          <w:lang w:bidi="fr-FR"/>
        </w:rPr>
        <w:t>La transition agro</w:t>
      </w:r>
      <w:r w:rsidR="000E348E">
        <w:rPr>
          <w:b/>
          <w:sz w:val="22"/>
          <w:szCs w:val="22"/>
          <w:lang w:bidi="fr-FR"/>
        </w:rPr>
        <w:t>-</w:t>
      </w:r>
      <w:r w:rsidR="00F97E52" w:rsidRPr="00F864EC">
        <w:rPr>
          <w:b/>
          <w:sz w:val="22"/>
          <w:szCs w:val="22"/>
          <w:lang w:bidi="fr-FR"/>
        </w:rPr>
        <w:t>écologique peut-elle nourrir la France et le Monde ?</w:t>
      </w:r>
      <w:r w:rsidR="00F97E52" w:rsidRPr="00F864EC">
        <w:rPr>
          <w:bCs/>
          <w:sz w:val="22"/>
          <w:szCs w:val="22"/>
          <w:lang w:bidi="fr-FR"/>
        </w:rPr>
        <w:t xml:space="preserve"> organisée par Alain Vidal, et mobilisant la section 4.</w:t>
      </w:r>
    </w:p>
    <w:p w14:paraId="4D41B80A" w14:textId="507C7E40" w:rsidR="00F97E52" w:rsidRPr="00F864EC" w:rsidRDefault="00F97E52" w:rsidP="00635ACA">
      <w:pPr>
        <w:jc w:val="both"/>
        <w:rPr>
          <w:bCs/>
          <w:sz w:val="22"/>
          <w:szCs w:val="22"/>
          <w:lang w:bidi="fr-FR"/>
        </w:rPr>
      </w:pPr>
      <w:r w:rsidRPr="00F864EC">
        <w:rPr>
          <w:bCs/>
          <w:sz w:val="22"/>
          <w:szCs w:val="22"/>
          <w:lang w:bidi="fr-FR"/>
        </w:rPr>
        <w:t>Dans la suite de la publicatio</w:t>
      </w:r>
      <w:r w:rsidR="00AA1E38">
        <w:rPr>
          <w:bCs/>
          <w:sz w:val="22"/>
          <w:szCs w:val="22"/>
          <w:lang w:bidi="fr-FR"/>
        </w:rPr>
        <w:t>n par l’académie de l’ouvrage «La transition agroécologique</w:t>
      </w:r>
      <w:r w:rsidRPr="00F864EC">
        <w:rPr>
          <w:bCs/>
          <w:sz w:val="22"/>
          <w:szCs w:val="22"/>
          <w:lang w:bidi="fr-FR"/>
        </w:rPr>
        <w:t>: quelles perspectives en France et aille</w:t>
      </w:r>
      <w:r w:rsidR="00AA1E38">
        <w:rPr>
          <w:bCs/>
          <w:sz w:val="22"/>
          <w:szCs w:val="22"/>
          <w:lang w:bidi="fr-FR"/>
        </w:rPr>
        <w:t>urs dans le monde?</w:t>
      </w:r>
      <w:r w:rsidRPr="00F864EC">
        <w:rPr>
          <w:bCs/>
          <w:sz w:val="22"/>
          <w:szCs w:val="22"/>
          <w:lang w:bidi="fr-FR"/>
        </w:rPr>
        <w:t>», force est de constater que cette transition oscille toujours entre une vision plutôt productiviste et une vision plus résolument écologique. Entre volonté d’assurer la sécurité alimentaire du Monde et de la France, et engagement plus marqué des consommateurs et des industriels, la science pe</w:t>
      </w:r>
      <w:r w:rsidR="00AA1E38">
        <w:rPr>
          <w:bCs/>
          <w:sz w:val="22"/>
          <w:szCs w:val="22"/>
          <w:lang w:bidi="fr-FR"/>
        </w:rPr>
        <w:t>ut-elle guider cette transition</w:t>
      </w:r>
      <w:r w:rsidR="00CF23CA">
        <w:rPr>
          <w:bCs/>
          <w:sz w:val="22"/>
          <w:szCs w:val="22"/>
          <w:lang w:bidi="fr-FR"/>
        </w:rPr>
        <w:t xml:space="preserve"> </w:t>
      </w:r>
      <w:r w:rsidR="00AA1E38">
        <w:rPr>
          <w:bCs/>
          <w:sz w:val="22"/>
          <w:szCs w:val="22"/>
          <w:lang w:bidi="fr-FR"/>
        </w:rPr>
        <w:t>? Vers quel nouveau paradigme</w:t>
      </w:r>
      <w:r w:rsidR="00CF23CA">
        <w:rPr>
          <w:bCs/>
          <w:sz w:val="22"/>
          <w:szCs w:val="22"/>
          <w:lang w:bidi="fr-FR"/>
        </w:rPr>
        <w:t xml:space="preserve"> </w:t>
      </w:r>
      <w:r w:rsidRPr="00F864EC">
        <w:rPr>
          <w:bCs/>
          <w:sz w:val="22"/>
          <w:szCs w:val="22"/>
          <w:lang w:bidi="fr-FR"/>
        </w:rPr>
        <w:t xml:space="preserve">? Sur quels types de mécanismes écologiques s’appuyer </w:t>
      </w:r>
      <w:r w:rsidR="00AA1E38">
        <w:rPr>
          <w:bCs/>
          <w:sz w:val="22"/>
          <w:szCs w:val="22"/>
          <w:lang w:bidi="fr-FR"/>
        </w:rPr>
        <w:t>et quelles pratiques développer</w:t>
      </w:r>
      <w:r w:rsidR="00CF23CA">
        <w:rPr>
          <w:bCs/>
          <w:sz w:val="22"/>
          <w:szCs w:val="22"/>
          <w:lang w:bidi="fr-FR"/>
        </w:rPr>
        <w:t xml:space="preserve"> </w:t>
      </w:r>
      <w:r w:rsidRPr="00F864EC">
        <w:rPr>
          <w:bCs/>
          <w:sz w:val="22"/>
          <w:szCs w:val="22"/>
          <w:lang w:bidi="fr-FR"/>
        </w:rPr>
        <w:t xml:space="preserve">? </w:t>
      </w:r>
    </w:p>
    <w:p w14:paraId="6D3E4879" w14:textId="5BB3143C" w:rsidR="00F97E52" w:rsidRPr="00F864EC" w:rsidRDefault="00F864EC" w:rsidP="00635ACA">
      <w:pPr>
        <w:jc w:val="both"/>
        <w:rPr>
          <w:b/>
          <w:sz w:val="22"/>
          <w:szCs w:val="22"/>
          <w:lang w:bidi="fr-FR"/>
        </w:rPr>
      </w:pPr>
      <w:r>
        <w:rPr>
          <w:b/>
          <w:sz w:val="22"/>
          <w:szCs w:val="22"/>
          <w:lang w:bidi="fr-FR"/>
        </w:rPr>
        <w:lastRenderedPageBreak/>
        <w:t>• </w:t>
      </w:r>
      <w:r w:rsidR="00F97E52" w:rsidRPr="00F864EC">
        <w:rPr>
          <w:b/>
          <w:sz w:val="22"/>
          <w:szCs w:val="22"/>
          <w:lang w:bidi="fr-FR"/>
        </w:rPr>
        <w:t xml:space="preserve">Le rapport à la nature des agriculteurs : une exploration visant à montrer qu’ils sont force de proposition pour « </w:t>
      </w:r>
      <w:r w:rsidR="00C86AE6">
        <w:rPr>
          <w:b/>
          <w:sz w:val="22"/>
          <w:szCs w:val="22"/>
          <w:lang w:bidi="fr-FR"/>
        </w:rPr>
        <w:t>c</w:t>
      </w:r>
      <w:r w:rsidR="00C86AE6" w:rsidRPr="00F864EC">
        <w:rPr>
          <w:b/>
          <w:sz w:val="22"/>
          <w:szCs w:val="22"/>
          <w:lang w:bidi="fr-FR"/>
        </w:rPr>
        <w:t xml:space="preserve">ultiver </w:t>
      </w:r>
      <w:r w:rsidR="00F97E52" w:rsidRPr="00F864EC">
        <w:rPr>
          <w:b/>
          <w:sz w:val="22"/>
          <w:szCs w:val="22"/>
          <w:lang w:bidi="fr-FR"/>
        </w:rPr>
        <w:t>et protéger autrement »</w:t>
      </w:r>
      <w:r w:rsidR="00F97E52" w:rsidRPr="00F864EC">
        <w:rPr>
          <w:bCs/>
          <w:sz w:val="22"/>
          <w:szCs w:val="22"/>
          <w:lang w:bidi="fr-FR"/>
        </w:rPr>
        <w:t xml:space="preserve">, organisée par </w:t>
      </w:r>
      <w:r w:rsidR="00F97E52" w:rsidRPr="00F864EC">
        <w:rPr>
          <w:sz w:val="22"/>
          <w:szCs w:val="22"/>
          <w:lang w:bidi="fr-FR"/>
        </w:rPr>
        <w:t xml:space="preserve">Nicole Mathieu et mobilisant les </w:t>
      </w:r>
      <w:r w:rsidR="00F97E52" w:rsidRPr="00F864EC">
        <w:rPr>
          <w:bCs/>
          <w:sz w:val="22"/>
          <w:szCs w:val="22"/>
          <w:lang w:bidi="fr-FR"/>
        </w:rPr>
        <w:t>S7, S4, S6 et S10.</w:t>
      </w:r>
      <w:r w:rsidR="00F97E52" w:rsidRPr="00F864EC">
        <w:rPr>
          <w:b/>
          <w:sz w:val="22"/>
          <w:szCs w:val="22"/>
          <w:lang w:bidi="fr-FR"/>
        </w:rPr>
        <w:t xml:space="preserve"> </w:t>
      </w:r>
    </w:p>
    <w:p w14:paraId="0AE7B664" w14:textId="7E27AFD5" w:rsidR="00F97E52" w:rsidRPr="00F864EC" w:rsidRDefault="00F97E52" w:rsidP="0040034B">
      <w:pPr>
        <w:jc w:val="both"/>
        <w:rPr>
          <w:sz w:val="22"/>
          <w:szCs w:val="22"/>
          <w:lang w:bidi="fr-FR"/>
        </w:rPr>
      </w:pPr>
      <w:r w:rsidRPr="00F864EC">
        <w:rPr>
          <w:bCs/>
          <w:sz w:val="22"/>
          <w:szCs w:val="22"/>
          <w:lang w:bidi="fr-FR"/>
        </w:rPr>
        <w:t>Pourquoi et comment appréhender les rapports à la nature des agriculteurs dans une période où l’on ne parle que de « responsabilité au vivant, d’atterrir, de</w:t>
      </w:r>
      <w:r w:rsidR="009D74BE">
        <w:rPr>
          <w:bCs/>
          <w:sz w:val="22"/>
          <w:szCs w:val="22"/>
          <w:lang w:bidi="fr-FR"/>
        </w:rPr>
        <w:t xml:space="preserve"> </w:t>
      </w:r>
      <w:r w:rsidRPr="00F864EC">
        <w:rPr>
          <w:bCs/>
          <w:sz w:val="22"/>
          <w:szCs w:val="22"/>
          <w:lang w:bidi="fr-FR"/>
        </w:rPr>
        <w:t>terre nourricière,</w:t>
      </w:r>
      <w:r w:rsidR="009D74BE">
        <w:rPr>
          <w:bCs/>
          <w:sz w:val="22"/>
          <w:szCs w:val="22"/>
          <w:lang w:bidi="fr-FR"/>
        </w:rPr>
        <w:t xml:space="preserve"> </w:t>
      </w:r>
      <w:r w:rsidRPr="00F864EC">
        <w:rPr>
          <w:bCs/>
          <w:sz w:val="22"/>
          <w:szCs w:val="22"/>
          <w:lang w:bidi="fr-FR"/>
        </w:rPr>
        <w:t>de</w:t>
      </w:r>
      <w:r w:rsidR="009D74BE">
        <w:rPr>
          <w:bCs/>
          <w:sz w:val="22"/>
          <w:szCs w:val="22"/>
          <w:lang w:bidi="fr-FR"/>
        </w:rPr>
        <w:t xml:space="preserve"> </w:t>
      </w:r>
      <w:r w:rsidRPr="00F864EC">
        <w:rPr>
          <w:bCs/>
          <w:sz w:val="22"/>
          <w:szCs w:val="22"/>
          <w:lang w:bidi="fr-FR"/>
        </w:rPr>
        <w:t>bien-être animal,  d’alimentation saine », etc., d’un point de vue</w:t>
      </w:r>
      <w:r w:rsidR="009D74BE">
        <w:rPr>
          <w:bCs/>
          <w:sz w:val="22"/>
          <w:szCs w:val="22"/>
          <w:lang w:bidi="fr-FR"/>
        </w:rPr>
        <w:t xml:space="preserve"> </w:t>
      </w:r>
      <w:r w:rsidR="00C86AE6">
        <w:rPr>
          <w:bCs/>
          <w:sz w:val="22"/>
          <w:szCs w:val="22"/>
          <w:lang w:bidi="fr-FR"/>
        </w:rPr>
        <w:t>reçu comme</w:t>
      </w:r>
      <w:r w:rsidR="00AA1E38">
        <w:rPr>
          <w:bCs/>
          <w:sz w:val="22"/>
          <w:szCs w:val="22"/>
          <w:lang w:bidi="fr-FR"/>
        </w:rPr>
        <w:t xml:space="preserve"> urbain </w:t>
      </w:r>
      <w:r w:rsidR="00C86AE6">
        <w:rPr>
          <w:bCs/>
          <w:sz w:val="22"/>
          <w:szCs w:val="22"/>
          <w:lang w:bidi="fr-FR"/>
        </w:rPr>
        <w:t xml:space="preserve">et </w:t>
      </w:r>
      <w:r w:rsidRPr="00F864EC">
        <w:rPr>
          <w:bCs/>
          <w:sz w:val="22"/>
          <w:szCs w:val="22"/>
          <w:lang w:bidi="fr-FR"/>
        </w:rPr>
        <w:t xml:space="preserve">peu soucieux d’approfondir celui des «cultures agricoles de la nature», sans interroger ce que l’on pourrait nommer les « Liens paysans/natures » ? Quelles implications en termes de formation, </w:t>
      </w:r>
      <w:r w:rsidRPr="00F864EC">
        <w:rPr>
          <w:sz w:val="22"/>
          <w:szCs w:val="22"/>
        </w:rPr>
        <w:t xml:space="preserve">de l’école primaire à l’Université y compris les écoles d’ingénieurs </w:t>
      </w:r>
      <w:r w:rsidR="00A710B8">
        <w:rPr>
          <w:bCs/>
          <w:sz w:val="22"/>
          <w:szCs w:val="22"/>
          <w:lang w:bidi="fr-FR"/>
        </w:rPr>
        <w:t>et quelles nouvelles formes de transmission des savoirs ?</w:t>
      </w:r>
    </w:p>
    <w:p w14:paraId="764CC915" w14:textId="77777777" w:rsidR="00F97E52" w:rsidRPr="00F864EC" w:rsidRDefault="00F97E52" w:rsidP="00635ACA">
      <w:pPr>
        <w:jc w:val="both"/>
        <w:rPr>
          <w:bCs/>
          <w:sz w:val="22"/>
          <w:szCs w:val="22"/>
          <w:lang w:bidi="fr-FR"/>
        </w:rPr>
      </w:pPr>
    </w:p>
    <w:p w14:paraId="7ACB11A7" w14:textId="610CB386" w:rsidR="00F97E52" w:rsidRPr="00F864EC" w:rsidRDefault="00F864EC" w:rsidP="00635ACA">
      <w:pPr>
        <w:jc w:val="both"/>
        <w:rPr>
          <w:bCs/>
          <w:sz w:val="22"/>
          <w:szCs w:val="22"/>
          <w:lang w:bidi="fr-FR"/>
        </w:rPr>
      </w:pPr>
      <w:r>
        <w:rPr>
          <w:b/>
          <w:bCs/>
          <w:sz w:val="22"/>
          <w:szCs w:val="22"/>
          <w:lang w:bidi="fr-FR"/>
        </w:rPr>
        <w:t xml:space="preserve">• </w:t>
      </w:r>
      <w:r w:rsidR="00F97E52" w:rsidRPr="00F864EC">
        <w:rPr>
          <w:b/>
          <w:bCs/>
          <w:sz w:val="22"/>
          <w:szCs w:val="22"/>
          <w:lang w:bidi="fr-FR"/>
        </w:rPr>
        <w:t>La comptabilité verte</w:t>
      </w:r>
      <w:r w:rsidR="00F97E52" w:rsidRPr="00F864EC">
        <w:rPr>
          <w:sz w:val="22"/>
          <w:szCs w:val="22"/>
          <w:lang w:bidi="fr-FR"/>
        </w:rPr>
        <w:t>, organisée par</w:t>
      </w:r>
      <w:r w:rsidR="00F97E52" w:rsidRPr="00F864EC">
        <w:rPr>
          <w:b/>
          <w:bCs/>
          <w:sz w:val="22"/>
          <w:szCs w:val="22"/>
          <w:lang w:bidi="fr-FR"/>
        </w:rPr>
        <w:t xml:space="preserve"> </w:t>
      </w:r>
      <w:r w:rsidR="00F97E52" w:rsidRPr="00F864EC">
        <w:rPr>
          <w:bCs/>
          <w:sz w:val="22"/>
          <w:szCs w:val="22"/>
          <w:lang w:bidi="fr-FR"/>
        </w:rPr>
        <w:t>Gabrielle Bouleau et mobilisant la S10.</w:t>
      </w:r>
    </w:p>
    <w:p w14:paraId="1F7B53CC" w14:textId="69CE0D98" w:rsidR="00F97E52" w:rsidRPr="00F864EC" w:rsidRDefault="00F97E52" w:rsidP="0040034B">
      <w:pPr>
        <w:jc w:val="both"/>
        <w:rPr>
          <w:bCs/>
          <w:sz w:val="22"/>
          <w:szCs w:val="22"/>
          <w:lang w:bidi="fr-FR"/>
        </w:rPr>
      </w:pPr>
      <w:r w:rsidRPr="00F864EC">
        <w:rPr>
          <w:bCs/>
          <w:sz w:val="22"/>
          <w:szCs w:val="22"/>
          <w:lang w:bidi="fr-FR"/>
        </w:rPr>
        <w:t>État des lieux des propositions pour faire évoluer le cadre comptable des entreprises pour qu’elles rendent des comptes aux territoires qu’elles utilisent, exploitent, polluent, artificialisent… Que recouvre la comptabilité verte ou comptabilité multicapitaux ? En quoi les labels ou les métriques de types analyse de cycle de vie (ACV) sont</w:t>
      </w:r>
      <w:r w:rsidR="001E7F61">
        <w:rPr>
          <w:bCs/>
          <w:sz w:val="22"/>
          <w:szCs w:val="22"/>
          <w:lang w:bidi="fr-FR"/>
        </w:rPr>
        <w:t>-ils</w:t>
      </w:r>
      <w:r w:rsidRPr="00F864EC">
        <w:rPr>
          <w:bCs/>
          <w:sz w:val="22"/>
          <w:szCs w:val="22"/>
          <w:lang w:bidi="fr-FR"/>
        </w:rPr>
        <w:t xml:space="preserve"> insuf</w:t>
      </w:r>
      <w:r w:rsidR="00CF23CA">
        <w:rPr>
          <w:bCs/>
          <w:sz w:val="22"/>
          <w:szCs w:val="22"/>
          <w:lang w:bidi="fr-FR"/>
        </w:rPr>
        <w:t xml:space="preserve">fisants pour rendre ces comptes </w:t>
      </w:r>
      <w:r w:rsidRPr="00F864EC">
        <w:rPr>
          <w:bCs/>
          <w:sz w:val="22"/>
          <w:szCs w:val="22"/>
          <w:lang w:bidi="fr-FR"/>
        </w:rPr>
        <w:t>? Quelles innovations institutionnelles constituent des opportunités pour un renouveau du cadre comptable ? Quels sont les obstacles qui demeurent ?</w:t>
      </w:r>
      <w:r w:rsidR="001E7F61">
        <w:rPr>
          <w:bCs/>
          <w:sz w:val="22"/>
          <w:szCs w:val="22"/>
          <w:lang w:bidi="fr-FR"/>
        </w:rPr>
        <w:t xml:space="preserve"> </w:t>
      </w:r>
    </w:p>
    <w:p w14:paraId="2A1E0BA6" w14:textId="77777777" w:rsidR="00852A37" w:rsidRPr="00F864EC" w:rsidRDefault="00852A37" w:rsidP="00635ACA">
      <w:pPr>
        <w:jc w:val="both"/>
        <w:rPr>
          <w:bCs/>
          <w:sz w:val="22"/>
          <w:szCs w:val="22"/>
          <w:lang w:bidi="fr-FR"/>
        </w:rPr>
      </w:pPr>
    </w:p>
    <w:p w14:paraId="4A9DB84B" w14:textId="66EF8C86" w:rsidR="00922CFE" w:rsidRPr="00F864EC" w:rsidRDefault="00852A37" w:rsidP="00635ACA">
      <w:pPr>
        <w:jc w:val="both"/>
        <w:rPr>
          <w:sz w:val="22"/>
          <w:szCs w:val="22"/>
        </w:rPr>
      </w:pPr>
      <w:r>
        <w:rPr>
          <w:sz w:val="22"/>
          <w:szCs w:val="22"/>
        </w:rPr>
        <w:t>• </w:t>
      </w:r>
      <w:r w:rsidR="00635ACA">
        <w:rPr>
          <w:sz w:val="22"/>
          <w:szCs w:val="22"/>
        </w:rPr>
        <w:t>Des</w:t>
      </w:r>
      <w:r w:rsidR="00082DBC" w:rsidRPr="00F864EC">
        <w:rPr>
          <w:sz w:val="22"/>
          <w:szCs w:val="22"/>
        </w:rPr>
        <w:t xml:space="preserve"> causes de dégradation de la biodiversité dans les territoires peuvent être induites par des règles juridiques ou des mécanismes économiques néfastes. L</w:t>
      </w:r>
      <w:r w:rsidR="00080351" w:rsidRPr="00F864EC">
        <w:rPr>
          <w:sz w:val="22"/>
          <w:szCs w:val="22"/>
        </w:rPr>
        <w:t xml:space="preserve">a </w:t>
      </w:r>
      <w:r w:rsidR="003E4AFE" w:rsidRPr="00F864EC">
        <w:rPr>
          <w:sz w:val="22"/>
          <w:szCs w:val="22"/>
        </w:rPr>
        <w:t>réflexion</w:t>
      </w:r>
      <w:r w:rsidR="00080351" w:rsidRPr="00F864EC">
        <w:rPr>
          <w:sz w:val="22"/>
          <w:szCs w:val="22"/>
        </w:rPr>
        <w:t xml:space="preserve"> su</w:t>
      </w:r>
      <w:r w:rsidR="003E22C8" w:rsidRPr="00F864EC">
        <w:rPr>
          <w:sz w:val="22"/>
          <w:szCs w:val="22"/>
        </w:rPr>
        <w:t xml:space="preserve">r la </w:t>
      </w:r>
      <w:r w:rsidR="00AA1E38">
        <w:rPr>
          <w:sz w:val="22"/>
          <w:szCs w:val="22"/>
        </w:rPr>
        <w:t>«</w:t>
      </w:r>
      <w:r w:rsidR="003E22C8" w:rsidRPr="00F864EC">
        <w:rPr>
          <w:b/>
          <w:sz w:val="22"/>
          <w:szCs w:val="22"/>
        </w:rPr>
        <w:t>Fiscalité des territoires</w:t>
      </w:r>
      <w:r w:rsidR="00082DBC" w:rsidRPr="00F864EC">
        <w:rPr>
          <w:b/>
          <w:sz w:val="22"/>
          <w:szCs w:val="22"/>
        </w:rPr>
        <w:t>»</w:t>
      </w:r>
      <w:r w:rsidR="003E22C8" w:rsidRPr="00F864EC">
        <w:rPr>
          <w:sz w:val="22"/>
          <w:szCs w:val="22"/>
        </w:rPr>
        <w:t xml:space="preserve"> </w:t>
      </w:r>
      <w:r w:rsidR="00080351" w:rsidRPr="00F864EC">
        <w:rPr>
          <w:sz w:val="22"/>
          <w:szCs w:val="22"/>
        </w:rPr>
        <w:t>engagée par Guillaume Sainteny</w:t>
      </w:r>
      <w:r w:rsidR="003E4AFE" w:rsidRPr="00F864EC">
        <w:rPr>
          <w:sz w:val="22"/>
          <w:szCs w:val="22"/>
        </w:rPr>
        <w:t xml:space="preserve"> </w:t>
      </w:r>
      <w:r w:rsidR="00082DBC" w:rsidRPr="00F864EC">
        <w:rPr>
          <w:sz w:val="22"/>
          <w:szCs w:val="22"/>
        </w:rPr>
        <w:t xml:space="preserve">s’inscrit dans cette recherche et </w:t>
      </w:r>
      <w:r w:rsidR="003E4AFE" w:rsidRPr="00F864EC">
        <w:rPr>
          <w:sz w:val="22"/>
          <w:szCs w:val="22"/>
        </w:rPr>
        <w:t>recouvre les aspects de</w:t>
      </w:r>
      <w:r w:rsidR="003E22C8" w:rsidRPr="00F864EC">
        <w:rPr>
          <w:sz w:val="22"/>
          <w:szCs w:val="22"/>
        </w:rPr>
        <w:t xml:space="preserve"> </w:t>
      </w:r>
      <w:r w:rsidR="003E4AFE" w:rsidRPr="00F864EC">
        <w:rPr>
          <w:sz w:val="22"/>
          <w:szCs w:val="22"/>
        </w:rPr>
        <w:t>fiscalité locale, fiscalité rurale, fiscalité de la biodiversité, des paysages, agricole, forestière, du foncier bâti et non bâti.</w:t>
      </w:r>
      <w:r w:rsidR="003E22C8" w:rsidRPr="00F864EC">
        <w:rPr>
          <w:sz w:val="22"/>
          <w:szCs w:val="22"/>
        </w:rPr>
        <w:t xml:space="preserve"> Ces travaux </w:t>
      </w:r>
      <w:r w:rsidR="00080351" w:rsidRPr="00F864EC">
        <w:rPr>
          <w:sz w:val="22"/>
          <w:szCs w:val="22"/>
        </w:rPr>
        <w:t>peu</w:t>
      </w:r>
      <w:r w:rsidR="003E22C8" w:rsidRPr="00F864EC">
        <w:rPr>
          <w:sz w:val="22"/>
          <w:szCs w:val="22"/>
        </w:rPr>
        <w:t>ven</w:t>
      </w:r>
      <w:r w:rsidR="00080351" w:rsidRPr="00F864EC">
        <w:rPr>
          <w:sz w:val="22"/>
          <w:szCs w:val="22"/>
        </w:rPr>
        <w:t>t rejoindr</w:t>
      </w:r>
      <w:r w:rsidR="003E22C8" w:rsidRPr="00F864EC">
        <w:rPr>
          <w:sz w:val="22"/>
          <w:szCs w:val="22"/>
        </w:rPr>
        <w:t xml:space="preserve">e à terme </w:t>
      </w:r>
      <w:r w:rsidR="00080351" w:rsidRPr="00F864EC">
        <w:rPr>
          <w:sz w:val="22"/>
          <w:szCs w:val="22"/>
        </w:rPr>
        <w:t>la réflexion de</w:t>
      </w:r>
      <w:r w:rsidR="003E22C8" w:rsidRPr="00F864EC">
        <w:rPr>
          <w:sz w:val="22"/>
          <w:szCs w:val="22"/>
        </w:rPr>
        <w:t>s sections S4 et</w:t>
      </w:r>
      <w:r w:rsidR="00082DBC" w:rsidRPr="00F864EC">
        <w:rPr>
          <w:sz w:val="22"/>
          <w:szCs w:val="22"/>
        </w:rPr>
        <w:t xml:space="preserve"> </w:t>
      </w:r>
      <w:r w:rsidR="00080351" w:rsidRPr="00F864EC">
        <w:rPr>
          <w:sz w:val="22"/>
          <w:szCs w:val="22"/>
        </w:rPr>
        <w:t>S10 qui prévoi</w:t>
      </w:r>
      <w:r w:rsidR="003E22C8" w:rsidRPr="00F864EC">
        <w:rPr>
          <w:sz w:val="22"/>
          <w:szCs w:val="22"/>
        </w:rPr>
        <w:t>en</w:t>
      </w:r>
      <w:r w:rsidR="00080351" w:rsidRPr="00F864EC">
        <w:rPr>
          <w:sz w:val="22"/>
          <w:szCs w:val="22"/>
        </w:rPr>
        <w:t>t de travailler sur les réformes foncières et le statut de l’exploitation  agricole</w:t>
      </w:r>
      <w:r w:rsidR="003E22C8" w:rsidRPr="00F864EC">
        <w:rPr>
          <w:sz w:val="22"/>
          <w:szCs w:val="22"/>
        </w:rPr>
        <w:t>.</w:t>
      </w:r>
    </w:p>
    <w:p w14:paraId="583ACA62" w14:textId="77777777" w:rsidR="00922CFE" w:rsidRPr="00F864EC" w:rsidRDefault="00922CFE" w:rsidP="00635ACA">
      <w:pPr>
        <w:pStyle w:val="Paragraphedeliste"/>
        <w:ind w:left="0"/>
        <w:jc w:val="both"/>
        <w:rPr>
          <w:rFonts w:ascii="Times New Roman" w:eastAsia="Times New Roman" w:hAnsi="Times New Roman" w:cs="Times New Roman"/>
          <w:sz w:val="22"/>
          <w:szCs w:val="22"/>
          <w:lang w:eastAsia="fr-FR"/>
        </w:rPr>
      </w:pPr>
    </w:p>
    <w:p w14:paraId="45F3A3B9" w14:textId="75C58B83" w:rsidR="00852A37" w:rsidRDefault="00852A37" w:rsidP="00635ACA">
      <w:pPr>
        <w:jc w:val="both"/>
        <w:rPr>
          <w:sz w:val="22"/>
          <w:szCs w:val="22"/>
        </w:rPr>
      </w:pPr>
      <w:r>
        <w:rPr>
          <w:color w:val="000000"/>
          <w:sz w:val="22"/>
          <w:szCs w:val="22"/>
        </w:rPr>
        <w:t xml:space="preserve">• </w:t>
      </w:r>
      <w:r w:rsidR="00922CFE" w:rsidRPr="00F864EC">
        <w:rPr>
          <w:color w:val="000000"/>
          <w:sz w:val="22"/>
          <w:szCs w:val="22"/>
        </w:rPr>
        <w:t xml:space="preserve">Répondant à la demande du bureau de l’AAF, une vigilance quant à </w:t>
      </w:r>
      <w:r w:rsidR="00922CFE" w:rsidRPr="00F864EC">
        <w:rPr>
          <w:b/>
          <w:bCs/>
          <w:color w:val="000000"/>
          <w:sz w:val="22"/>
          <w:szCs w:val="22"/>
        </w:rPr>
        <w:t xml:space="preserve">l’impact des plans de relance économique post-Covid sur l’agriculture </w:t>
      </w:r>
      <w:r w:rsidR="00AA1E38">
        <w:rPr>
          <w:color w:val="000000"/>
          <w:sz w:val="22"/>
          <w:szCs w:val="22"/>
        </w:rPr>
        <w:t>sera organisée</w:t>
      </w:r>
      <w:r w:rsidR="00922CFE" w:rsidRPr="00F864EC">
        <w:rPr>
          <w:color w:val="000000"/>
          <w:sz w:val="22"/>
          <w:szCs w:val="22"/>
        </w:rPr>
        <w:t xml:space="preserve">: </w:t>
      </w:r>
      <w:r w:rsidR="00BF6605" w:rsidRPr="00F864EC">
        <w:rPr>
          <w:sz w:val="22"/>
          <w:szCs w:val="22"/>
        </w:rPr>
        <w:t>impact</w:t>
      </w:r>
      <w:r w:rsidR="00922CFE" w:rsidRPr="00F864EC">
        <w:rPr>
          <w:sz w:val="22"/>
          <w:szCs w:val="22"/>
        </w:rPr>
        <w:t>s</w:t>
      </w:r>
      <w:r w:rsidR="00BF6605" w:rsidRPr="00F864EC">
        <w:rPr>
          <w:sz w:val="22"/>
          <w:szCs w:val="22"/>
        </w:rPr>
        <w:t xml:space="preserve"> direct</w:t>
      </w:r>
      <w:r w:rsidR="00922CFE" w:rsidRPr="00F864EC">
        <w:rPr>
          <w:sz w:val="22"/>
          <w:szCs w:val="22"/>
        </w:rPr>
        <w:t>s</w:t>
      </w:r>
      <w:r w:rsidR="00BF6605" w:rsidRPr="00F864EC">
        <w:rPr>
          <w:sz w:val="22"/>
          <w:szCs w:val="22"/>
        </w:rPr>
        <w:t xml:space="preserve"> (</w:t>
      </w:r>
      <w:r w:rsidR="008242C3" w:rsidRPr="00F864EC">
        <w:rPr>
          <w:sz w:val="22"/>
          <w:szCs w:val="22"/>
        </w:rPr>
        <w:t>quelles création</w:t>
      </w:r>
      <w:r w:rsidR="00AA1E38">
        <w:rPr>
          <w:sz w:val="22"/>
          <w:szCs w:val="22"/>
        </w:rPr>
        <w:t>s d’infrastructures écologiques</w:t>
      </w:r>
      <w:r w:rsidR="008242C3" w:rsidRPr="00F864EC">
        <w:rPr>
          <w:sz w:val="22"/>
          <w:szCs w:val="22"/>
        </w:rPr>
        <w:t xml:space="preserve">? </w:t>
      </w:r>
      <w:r w:rsidR="00BF6605" w:rsidRPr="00F864EC">
        <w:rPr>
          <w:sz w:val="22"/>
          <w:szCs w:val="22"/>
        </w:rPr>
        <w:t>quelle</w:t>
      </w:r>
      <w:r w:rsidR="001E7F61">
        <w:rPr>
          <w:sz w:val="22"/>
          <w:szCs w:val="22"/>
        </w:rPr>
        <w:t>s</w:t>
      </w:r>
      <w:r w:rsidR="00BF6605" w:rsidRPr="00F864EC">
        <w:rPr>
          <w:sz w:val="22"/>
          <w:szCs w:val="22"/>
        </w:rPr>
        <w:t xml:space="preserve"> conditionnalités aux plans de relance concernant l’agriculture</w:t>
      </w:r>
      <w:r w:rsidR="00922CFE" w:rsidRPr="00F864EC">
        <w:rPr>
          <w:sz w:val="22"/>
          <w:szCs w:val="22"/>
        </w:rPr>
        <w:t xml:space="preserve"> </w:t>
      </w:r>
      <w:r w:rsidR="00BF6605" w:rsidRPr="00F864EC">
        <w:rPr>
          <w:sz w:val="22"/>
          <w:szCs w:val="22"/>
        </w:rPr>
        <w:t>?</w:t>
      </w:r>
      <w:r w:rsidR="001E7F61">
        <w:rPr>
          <w:sz w:val="22"/>
          <w:szCs w:val="22"/>
        </w:rPr>
        <w:t>)</w:t>
      </w:r>
      <w:r w:rsidR="0040034B">
        <w:rPr>
          <w:sz w:val="22"/>
          <w:szCs w:val="22"/>
        </w:rPr>
        <w:t xml:space="preserve"> </w:t>
      </w:r>
      <w:r w:rsidR="00BF6605" w:rsidRPr="00F864EC">
        <w:rPr>
          <w:sz w:val="22"/>
          <w:szCs w:val="22"/>
        </w:rPr>
        <w:t>et indirect</w:t>
      </w:r>
      <w:r w:rsidR="00922CFE" w:rsidRPr="00F864EC">
        <w:rPr>
          <w:sz w:val="22"/>
          <w:szCs w:val="22"/>
        </w:rPr>
        <w:t>s</w:t>
      </w:r>
      <w:r w:rsidR="00BF6605" w:rsidRPr="00F864EC">
        <w:rPr>
          <w:sz w:val="22"/>
          <w:szCs w:val="22"/>
        </w:rPr>
        <w:t xml:space="preserve"> (</w:t>
      </w:r>
      <w:r w:rsidR="0040034B">
        <w:rPr>
          <w:sz w:val="22"/>
          <w:szCs w:val="22"/>
        </w:rPr>
        <w:t>sur les</w:t>
      </w:r>
      <w:r w:rsidR="00BF6605" w:rsidRPr="00F864EC">
        <w:rPr>
          <w:sz w:val="22"/>
          <w:szCs w:val="22"/>
        </w:rPr>
        <w:t xml:space="preserve"> autres secteurs qui pourraient avoir un effet sur l’agriculture via la compétition sur les ressources ou la dégradation de l’environnement</w:t>
      </w:r>
      <w:r w:rsidR="00922CFE" w:rsidRPr="00F864EC">
        <w:rPr>
          <w:sz w:val="22"/>
          <w:szCs w:val="22"/>
        </w:rPr>
        <w:t>?</w:t>
      </w:r>
      <w:r w:rsidR="00BF6605" w:rsidRPr="00F864EC">
        <w:rPr>
          <w:sz w:val="22"/>
          <w:szCs w:val="22"/>
        </w:rPr>
        <w:t>).</w:t>
      </w:r>
    </w:p>
    <w:p w14:paraId="36861F85" w14:textId="77777777" w:rsidR="00AA1E38" w:rsidRDefault="00AA1E38" w:rsidP="00635ACA">
      <w:pPr>
        <w:jc w:val="both"/>
        <w:rPr>
          <w:sz w:val="22"/>
          <w:szCs w:val="22"/>
        </w:rPr>
      </w:pPr>
    </w:p>
    <w:p w14:paraId="531457D8" w14:textId="77777777" w:rsidR="00091BB9" w:rsidRDefault="00091BB9" w:rsidP="00635ACA">
      <w:pPr>
        <w:jc w:val="both"/>
        <w:rPr>
          <w:sz w:val="22"/>
          <w:szCs w:val="22"/>
        </w:rPr>
      </w:pPr>
    </w:p>
    <w:p w14:paraId="5273FFC4" w14:textId="77777777" w:rsidR="00AA1E38" w:rsidRDefault="00AA1E38" w:rsidP="00635ACA">
      <w:pPr>
        <w:jc w:val="both"/>
        <w:rPr>
          <w:sz w:val="22"/>
          <w:szCs w:val="22"/>
        </w:rPr>
      </w:pPr>
    </w:p>
    <w:p w14:paraId="5ACBFCD2" w14:textId="3E8B8018" w:rsidR="00F864EC" w:rsidRPr="00F864EC" w:rsidRDefault="00F864EC" w:rsidP="00635ACA">
      <w:pPr>
        <w:jc w:val="both"/>
        <w:rPr>
          <w:sz w:val="22"/>
          <w:szCs w:val="22"/>
        </w:rPr>
      </w:pPr>
      <w:r w:rsidRPr="00D74B0B">
        <w:rPr>
          <w:b/>
          <w:bCs/>
          <w:smallCaps/>
          <w:sz w:val="22"/>
          <w:szCs w:val="22"/>
        </w:rPr>
        <w:t>2.</w:t>
      </w:r>
      <w:r w:rsidRPr="00D74B0B">
        <w:rPr>
          <w:smallCaps/>
          <w:sz w:val="22"/>
          <w:szCs w:val="22"/>
        </w:rPr>
        <w:t>  </w:t>
      </w:r>
      <w:r w:rsidRPr="00D74B0B">
        <w:rPr>
          <w:b/>
          <w:bCs/>
          <w:smallCaps/>
          <w:sz w:val="22"/>
          <w:szCs w:val="22"/>
        </w:rPr>
        <w:t>Agriculture urbaine et biodiversité </w:t>
      </w:r>
      <w:r w:rsidR="00AA1E38">
        <w:rPr>
          <w:sz w:val="22"/>
          <w:szCs w:val="22"/>
        </w:rPr>
        <w:t xml:space="preserve">: responsables </w:t>
      </w:r>
      <w:r w:rsidR="00CF23CA">
        <w:rPr>
          <w:sz w:val="22"/>
          <w:szCs w:val="22"/>
        </w:rPr>
        <w:t xml:space="preserve">Philippe Clergeau </w:t>
      </w:r>
      <w:r w:rsidRPr="00F864EC">
        <w:rPr>
          <w:sz w:val="22"/>
          <w:szCs w:val="22"/>
        </w:rPr>
        <w:t>et Pierre Donadieu</w:t>
      </w:r>
      <w:r w:rsidR="00CF23CA">
        <w:rPr>
          <w:sz w:val="22"/>
          <w:szCs w:val="22"/>
        </w:rPr>
        <w:t>.</w:t>
      </w:r>
    </w:p>
    <w:p w14:paraId="764D00FE" w14:textId="2BD6221A" w:rsidR="00F864EC" w:rsidRDefault="00F864EC" w:rsidP="00635ACA">
      <w:pPr>
        <w:jc w:val="both"/>
        <w:rPr>
          <w:sz w:val="22"/>
          <w:szCs w:val="22"/>
        </w:rPr>
      </w:pPr>
      <w:r w:rsidRPr="00F864EC">
        <w:rPr>
          <w:sz w:val="22"/>
          <w:szCs w:val="22"/>
        </w:rPr>
        <w:t>La question abordée concerne les rôles et les dynamiques des agricultures, localisées dans les ré</w:t>
      </w:r>
      <w:r w:rsidR="00AA1E38">
        <w:rPr>
          <w:sz w:val="22"/>
          <w:szCs w:val="22"/>
        </w:rPr>
        <w:t xml:space="preserve">gions urbaines, au cours de la </w:t>
      </w:r>
      <w:r w:rsidRPr="00F864EC">
        <w:rPr>
          <w:sz w:val="22"/>
          <w:szCs w:val="22"/>
        </w:rPr>
        <w:t>transition environnementale en Europe. L’amplification des conflits d’usage des sols (espace construit/espace de production agroalimentaire/espace de biodiversité) interrogent la façon d’organiser les territoires et d’arbitrer les choix tout particulièrement dans les zones d’interface du tissu construit avec les différentes formes d'agriculture. De quelles connaissances et outils dispose-t-on pour proposer des principes d’aménagements spatiaux applicables aux différentes échelles géographiques d</w:t>
      </w:r>
      <w:r w:rsidR="00AA1E38">
        <w:rPr>
          <w:sz w:val="22"/>
          <w:szCs w:val="22"/>
        </w:rPr>
        <w:t>e la planification territoriale</w:t>
      </w:r>
      <w:r w:rsidRPr="00F864EC">
        <w:rPr>
          <w:sz w:val="22"/>
          <w:szCs w:val="22"/>
        </w:rPr>
        <w:t>? Quels chemins de restauration de la biodiversité urbaine croisent ceux de la construction des pratiques agricoles tournées vers l’alimentation, la sé</w:t>
      </w:r>
      <w:r w:rsidR="00AA1E38">
        <w:rPr>
          <w:sz w:val="22"/>
          <w:szCs w:val="22"/>
        </w:rPr>
        <w:t>curité et la santé des citadins?</w:t>
      </w:r>
    </w:p>
    <w:p w14:paraId="7BD06235" w14:textId="77777777" w:rsidR="00635ACA" w:rsidRPr="00F864EC" w:rsidRDefault="00635ACA" w:rsidP="00635ACA">
      <w:pPr>
        <w:jc w:val="both"/>
        <w:rPr>
          <w:sz w:val="22"/>
          <w:szCs w:val="22"/>
        </w:rPr>
      </w:pPr>
    </w:p>
    <w:p w14:paraId="032C0876" w14:textId="77777777" w:rsidR="00F864EC" w:rsidRPr="00F864EC" w:rsidRDefault="00F864EC" w:rsidP="00635ACA">
      <w:pPr>
        <w:jc w:val="both"/>
        <w:rPr>
          <w:color w:val="000000"/>
          <w:sz w:val="22"/>
          <w:szCs w:val="22"/>
        </w:rPr>
      </w:pPr>
      <w:r w:rsidRPr="00F864EC">
        <w:rPr>
          <w:sz w:val="22"/>
          <w:szCs w:val="22"/>
        </w:rPr>
        <w:t>Les échanges</w:t>
      </w:r>
      <w:r w:rsidRPr="00F864EC">
        <w:rPr>
          <w:color w:val="000000"/>
          <w:sz w:val="22"/>
          <w:szCs w:val="22"/>
        </w:rPr>
        <w:t xml:space="preserve"> aborderont les différentes échelles de fonctionnement et les différents leviers d’évolution des décisions et des pratiques agricoles au niveau des régions urbaines, en prenant en compte les services écosystémiques, et les outils de gouvernance et de qualités des sols. </w:t>
      </w:r>
    </w:p>
    <w:p w14:paraId="51B923CC" w14:textId="068B9BA3" w:rsidR="0082717D" w:rsidRDefault="00F864EC" w:rsidP="00AA1E38">
      <w:pPr>
        <w:jc w:val="both"/>
        <w:rPr>
          <w:sz w:val="22"/>
          <w:szCs w:val="22"/>
        </w:rPr>
      </w:pPr>
      <w:r w:rsidRPr="00F864EC">
        <w:rPr>
          <w:iCs/>
          <w:sz w:val="22"/>
          <w:szCs w:val="22"/>
        </w:rPr>
        <w:t xml:space="preserve">Ces questions ont déjà abouti à la tenue d’une séance de l’académie sur le ZAN (zéro artificialisation nette). </w:t>
      </w:r>
      <w:r w:rsidRPr="00F864EC">
        <w:rPr>
          <w:color w:val="000000"/>
          <w:sz w:val="22"/>
          <w:szCs w:val="22"/>
        </w:rPr>
        <w:t xml:space="preserve">Le thème de l’interface entre agricultures et biodiversités en milieu urbain et périurbain, qui reste peu étudié, servira de point de départ aux activités du nouveau </w:t>
      </w:r>
      <w:r w:rsidR="00AA1E38">
        <w:rPr>
          <w:b/>
          <w:bCs/>
          <w:color w:val="000000"/>
          <w:sz w:val="22"/>
          <w:szCs w:val="22"/>
        </w:rPr>
        <w:t>Groupe de travail «</w:t>
      </w:r>
      <w:r w:rsidRPr="00F864EC">
        <w:rPr>
          <w:b/>
          <w:bCs/>
          <w:color w:val="000000"/>
          <w:sz w:val="22"/>
          <w:szCs w:val="22"/>
        </w:rPr>
        <w:t>Agricul</w:t>
      </w:r>
      <w:r w:rsidR="00AA1E38">
        <w:rPr>
          <w:b/>
          <w:bCs/>
          <w:color w:val="000000"/>
          <w:sz w:val="22"/>
          <w:szCs w:val="22"/>
        </w:rPr>
        <w:t>tures et biodiversités urbaines</w:t>
      </w:r>
      <w:r w:rsidRPr="00F864EC">
        <w:rPr>
          <w:b/>
          <w:bCs/>
          <w:color w:val="000000"/>
          <w:sz w:val="22"/>
          <w:szCs w:val="22"/>
        </w:rPr>
        <w:t>»</w:t>
      </w:r>
      <w:r w:rsidRPr="00F864EC">
        <w:rPr>
          <w:color w:val="000000"/>
          <w:sz w:val="22"/>
          <w:szCs w:val="22"/>
        </w:rPr>
        <w:t xml:space="preserve"> animé par notre section.</w:t>
      </w:r>
      <w:r w:rsidRPr="00F864EC">
        <w:rPr>
          <w:i/>
          <w:iCs/>
          <w:sz w:val="22"/>
          <w:szCs w:val="22"/>
        </w:rPr>
        <w:t xml:space="preserve"> </w:t>
      </w:r>
      <w:r w:rsidR="00AA1E38">
        <w:rPr>
          <w:sz w:val="22"/>
          <w:szCs w:val="22"/>
        </w:rPr>
        <w:t>Il mobilisera les disciplines</w:t>
      </w:r>
      <w:r w:rsidRPr="00F864EC">
        <w:rPr>
          <w:sz w:val="22"/>
          <w:szCs w:val="22"/>
        </w:rPr>
        <w:t>: biodiversité urbaine, écologie du paysage, urbanisme écologique et paysagi</w:t>
      </w:r>
      <w:r w:rsidR="00AA1E38">
        <w:rPr>
          <w:sz w:val="22"/>
          <w:szCs w:val="22"/>
        </w:rPr>
        <w:t>ste, aménagement du territoire,</w:t>
      </w:r>
      <w:r w:rsidR="00CF23CA">
        <w:rPr>
          <w:sz w:val="22"/>
          <w:szCs w:val="22"/>
        </w:rPr>
        <w:t xml:space="preserve"> </w:t>
      </w:r>
      <w:r w:rsidR="00AA1E38">
        <w:rPr>
          <w:sz w:val="22"/>
          <w:szCs w:val="22"/>
        </w:rPr>
        <w:t>agronomie</w:t>
      </w:r>
      <w:r w:rsidR="00CF23CA">
        <w:rPr>
          <w:sz w:val="22"/>
          <w:szCs w:val="22"/>
        </w:rPr>
        <w:t>.</w:t>
      </w:r>
      <w:bookmarkStart w:id="0" w:name="_GoBack"/>
      <w:bookmarkEnd w:id="0"/>
    </w:p>
    <w:p w14:paraId="0B36FE30" w14:textId="57C23733" w:rsidR="0040034B" w:rsidRDefault="0040034B" w:rsidP="00635ACA">
      <w:pPr>
        <w:pStyle w:val="Paragraphedeliste"/>
        <w:ind w:left="0"/>
        <w:jc w:val="both"/>
        <w:rPr>
          <w:rFonts w:ascii="Times New Roman" w:eastAsia="Times New Roman" w:hAnsi="Times New Roman" w:cs="Times New Roman"/>
          <w:sz w:val="22"/>
          <w:szCs w:val="22"/>
          <w:lang w:eastAsia="fr-FR"/>
        </w:rPr>
      </w:pPr>
    </w:p>
    <w:p w14:paraId="4727E2DC" w14:textId="77777777" w:rsidR="00AA1E38" w:rsidRDefault="00AA1E38" w:rsidP="00635ACA">
      <w:pPr>
        <w:pStyle w:val="Paragraphedeliste"/>
        <w:ind w:left="0"/>
        <w:jc w:val="both"/>
        <w:rPr>
          <w:rFonts w:ascii="Times New Roman" w:eastAsia="Times New Roman" w:hAnsi="Times New Roman" w:cs="Times New Roman"/>
          <w:sz w:val="22"/>
          <w:szCs w:val="22"/>
          <w:lang w:eastAsia="fr-FR"/>
        </w:rPr>
      </w:pPr>
    </w:p>
    <w:p w14:paraId="4E7AE8E3" w14:textId="77777777" w:rsidR="00091BB9" w:rsidRDefault="00091BB9" w:rsidP="00635ACA">
      <w:pPr>
        <w:pStyle w:val="Paragraphedeliste"/>
        <w:ind w:left="0"/>
        <w:jc w:val="both"/>
        <w:rPr>
          <w:rFonts w:ascii="Times New Roman" w:eastAsia="Times New Roman" w:hAnsi="Times New Roman" w:cs="Times New Roman"/>
          <w:sz w:val="22"/>
          <w:szCs w:val="22"/>
          <w:lang w:eastAsia="fr-FR"/>
        </w:rPr>
      </w:pPr>
    </w:p>
    <w:p w14:paraId="5C452A20" w14:textId="77777777" w:rsidR="00091BB9" w:rsidRDefault="00091BB9" w:rsidP="00635ACA">
      <w:pPr>
        <w:pStyle w:val="Paragraphedeliste"/>
        <w:ind w:left="0"/>
        <w:jc w:val="both"/>
        <w:rPr>
          <w:rFonts w:ascii="Times New Roman" w:eastAsia="Times New Roman" w:hAnsi="Times New Roman" w:cs="Times New Roman"/>
          <w:sz w:val="22"/>
          <w:szCs w:val="22"/>
          <w:lang w:eastAsia="fr-FR"/>
        </w:rPr>
      </w:pPr>
    </w:p>
    <w:p w14:paraId="24FBD47C" w14:textId="62AA692C" w:rsidR="008242C3" w:rsidRPr="00F864EC" w:rsidRDefault="00922CFE" w:rsidP="00635ACA">
      <w:pPr>
        <w:jc w:val="both"/>
        <w:rPr>
          <w:b/>
          <w:bCs/>
          <w:sz w:val="22"/>
          <w:szCs w:val="22"/>
        </w:rPr>
      </w:pPr>
      <w:r w:rsidRPr="00D74B0B">
        <w:rPr>
          <w:b/>
          <w:bCs/>
          <w:smallCaps/>
          <w:sz w:val="22"/>
          <w:szCs w:val="22"/>
        </w:rPr>
        <w:t xml:space="preserve">3. </w:t>
      </w:r>
      <w:r w:rsidR="0082717D" w:rsidRPr="00D74B0B">
        <w:rPr>
          <w:b/>
          <w:bCs/>
          <w:smallCaps/>
          <w:sz w:val="22"/>
          <w:szCs w:val="22"/>
        </w:rPr>
        <w:t>Science et société</w:t>
      </w:r>
      <w:r w:rsidR="00371558" w:rsidRPr="00D74B0B">
        <w:rPr>
          <w:b/>
          <w:bCs/>
          <w:smallCaps/>
          <w:sz w:val="22"/>
          <w:szCs w:val="22"/>
        </w:rPr>
        <w:t>s</w:t>
      </w:r>
      <w:r w:rsidR="00D74B0B">
        <w:rPr>
          <w:sz w:val="22"/>
          <w:szCs w:val="22"/>
        </w:rPr>
        <w:t xml:space="preserve"> : </w:t>
      </w:r>
      <w:r w:rsidR="0082717D" w:rsidRPr="00F864EC">
        <w:rPr>
          <w:sz w:val="22"/>
          <w:szCs w:val="22"/>
        </w:rPr>
        <w:t>responsable Nathalie de Noblet</w:t>
      </w:r>
      <w:r w:rsidR="001A5585" w:rsidRPr="00F864EC">
        <w:rPr>
          <w:sz w:val="22"/>
          <w:szCs w:val="22"/>
        </w:rPr>
        <w:t xml:space="preserve"> et </w:t>
      </w:r>
      <w:r w:rsidR="00852A37">
        <w:rPr>
          <w:sz w:val="22"/>
          <w:szCs w:val="22"/>
        </w:rPr>
        <w:t>al.</w:t>
      </w:r>
    </w:p>
    <w:p w14:paraId="5CFFF625" w14:textId="3B3BCF2F" w:rsidR="003E4AFE" w:rsidRDefault="00CA43A8" w:rsidP="00635ACA">
      <w:pPr>
        <w:jc w:val="both"/>
        <w:rPr>
          <w:color w:val="000000"/>
          <w:sz w:val="22"/>
          <w:szCs w:val="22"/>
        </w:rPr>
      </w:pPr>
      <w:r w:rsidRPr="00F864EC">
        <w:rPr>
          <w:color w:val="000000"/>
          <w:sz w:val="22"/>
          <w:szCs w:val="22"/>
        </w:rPr>
        <w:t xml:space="preserve">La pandémie </w:t>
      </w:r>
      <w:r w:rsidR="001A5585" w:rsidRPr="00F864EC">
        <w:rPr>
          <w:color w:val="000000"/>
          <w:sz w:val="22"/>
          <w:szCs w:val="22"/>
        </w:rPr>
        <w:t>de Covid19</w:t>
      </w:r>
      <w:r w:rsidRPr="00F864EC">
        <w:rPr>
          <w:color w:val="000000"/>
          <w:sz w:val="22"/>
          <w:szCs w:val="22"/>
        </w:rPr>
        <w:t xml:space="preserve"> a d’ores et déjà montré les possibilités et limites </w:t>
      </w:r>
      <w:r w:rsidR="00326C48" w:rsidRPr="00F864EC">
        <w:rPr>
          <w:color w:val="000000"/>
          <w:sz w:val="22"/>
          <w:szCs w:val="22"/>
        </w:rPr>
        <w:t>des sociétés humaines</w:t>
      </w:r>
      <w:r w:rsidRPr="00F864EC">
        <w:rPr>
          <w:color w:val="000000"/>
          <w:sz w:val="22"/>
          <w:szCs w:val="22"/>
        </w:rPr>
        <w:t xml:space="preserve"> à prendre en compte le moyen et le long terme. Le </w:t>
      </w:r>
      <w:r w:rsidR="001A5585" w:rsidRPr="00F864EC">
        <w:rPr>
          <w:color w:val="000000"/>
          <w:sz w:val="22"/>
          <w:szCs w:val="22"/>
        </w:rPr>
        <w:t xml:space="preserve">changement </w:t>
      </w:r>
      <w:r w:rsidRPr="00F864EC">
        <w:rPr>
          <w:color w:val="000000"/>
          <w:sz w:val="22"/>
          <w:szCs w:val="22"/>
        </w:rPr>
        <w:t>climat</w:t>
      </w:r>
      <w:r w:rsidR="001A5585" w:rsidRPr="00F864EC">
        <w:rPr>
          <w:color w:val="000000"/>
          <w:sz w:val="22"/>
          <w:szCs w:val="22"/>
        </w:rPr>
        <w:t>ique</w:t>
      </w:r>
      <w:r w:rsidRPr="00F864EC">
        <w:rPr>
          <w:color w:val="000000"/>
          <w:sz w:val="22"/>
          <w:szCs w:val="22"/>
        </w:rPr>
        <w:t xml:space="preserve"> </w:t>
      </w:r>
      <w:r w:rsidR="001A5585" w:rsidRPr="00F864EC">
        <w:rPr>
          <w:color w:val="000000"/>
          <w:sz w:val="22"/>
          <w:szCs w:val="22"/>
        </w:rPr>
        <w:t xml:space="preserve">et l’érosion de la biodiversité </w:t>
      </w:r>
      <w:r w:rsidRPr="00F864EC">
        <w:rPr>
          <w:color w:val="000000"/>
          <w:sz w:val="22"/>
          <w:szCs w:val="22"/>
        </w:rPr>
        <w:t>illustre</w:t>
      </w:r>
      <w:r w:rsidR="001A5585" w:rsidRPr="00F864EC">
        <w:rPr>
          <w:color w:val="000000"/>
          <w:sz w:val="22"/>
          <w:szCs w:val="22"/>
        </w:rPr>
        <w:t>nt</w:t>
      </w:r>
      <w:r w:rsidRPr="00F864EC">
        <w:rPr>
          <w:color w:val="000000"/>
          <w:sz w:val="22"/>
          <w:szCs w:val="22"/>
        </w:rPr>
        <w:t xml:space="preserve"> les mêmes problèmes. </w:t>
      </w:r>
      <w:r w:rsidR="001A5585" w:rsidRPr="00F864EC">
        <w:rPr>
          <w:color w:val="000000"/>
          <w:sz w:val="22"/>
          <w:szCs w:val="22"/>
        </w:rPr>
        <w:t>La</w:t>
      </w:r>
      <w:r w:rsidRPr="00F864EC">
        <w:rPr>
          <w:color w:val="000000"/>
          <w:sz w:val="22"/>
          <w:szCs w:val="22"/>
        </w:rPr>
        <w:t xml:space="preserve"> section examinera les difficultés de construction d'une </w:t>
      </w:r>
      <w:r w:rsidR="001A5585" w:rsidRPr="00F864EC">
        <w:rPr>
          <w:color w:val="000000"/>
          <w:sz w:val="22"/>
          <w:szCs w:val="22"/>
        </w:rPr>
        <w:t>« </w:t>
      </w:r>
      <w:r w:rsidRPr="00F864EC">
        <w:rPr>
          <w:color w:val="000000"/>
          <w:sz w:val="22"/>
          <w:szCs w:val="22"/>
        </w:rPr>
        <w:t>résilience</w:t>
      </w:r>
      <w:r w:rsidR="001A5585" w:rsidRPr="00F864EC">
        <w:rPr>
          <w:color w:val="000000"/>
          <w:sz w:val="22"/>
          <w:szCs w:val="22"/>
        </w:rPr>
        <w:t> »</w:t>
      </w:r>
      <w:r w:rsidRPr="00F864EC">
        <w:rPr>
          <w:color w:val="000000"/>
          <w:sz w:val="22"/>
          <w:szCs w:val="22"/>
        </w:rPr>
        <w:t xml:space="preserve"> des sociétés face aux problèmes environnementaux à venir, la complexité du dialogue entre scientifiques et politiques face aux multiples incertitudes, scientifiques et politiques</w:t>
      </w:r>
      <w:r w:rsidR="00B20373" w:rsidRPr="00F864EC">
        <w:rPr>
          <w:color w:val="000000"/>
          <w:sz w:val="22"/>
          <w:szCs w:val="22"/>
        </w:rPr>
        <w:t xml:space="preserve">. Il </w:t>
      </w:r>
      <w:r w:rsidRPr="00F864EC">
        <w:rPr>
          <w:sz w:val="22"/>
          <w:szCs w:val="22"/>
        </w:rPr>
        <w:t>s’</w:t>
      </w:r>
      <w:r w:rsidR="00326C48" w:rsidRPr="00F864EC">
        <w:rPr>
          <w:sz w:val="22"/>
          <w:szCs w:val="22"/>
        </w:rPr>
        <w:t>appuiera</w:t>
      </w:r>
      <w:r w:rsidR="00B20373" w:rsidRPr="00F864EC">
        <w:rPr>
          <w:sz w:val="22"/>
          <w:szCs w:val="22"/>
        </w:rPr>
        <w:t xml:space="preserve"> </w:t>
      </w:r>
      <w:r w:rsidRPr="00F864EC">
        <w:rPr>
          <w:sz w:val="22"/>
          <w:szCs w:val="22"/>
        </w:rPr>
        <w:t xml:space="preserve">sur les travaux en cours qui s’ancrent dans les territoires comme les travaux </w:t>
      </w:r>
      <w:r w:rsidR="00B20373" w:rsidRPr="00F864EC">
        <w:rPr>
          <w:sz w:val="22"/>
          <w:szCs w:val="22"/>
        </w:rPr>
        <w:t xml:space="preserve">des GREC (groupes de recherche Ile de France ou SUD), autant de </w:t>
      </w:r>
      <w:r w:rsidR="00326C48" w:rsidRPr="00F864EC">
        <w:rPr>
          <w:sz w:val="22"/>
          <w:szCs w:val="22"/>
        </w:rPr>
        <w:t>l</w:t>
      </w:r>
      <w:r w:rsidR="00B20373" w:rsidRPr="00F864EC">
        <w:rPr>
          <w:sz w:val="22"/>
          <w:szCs w:val="22"/>
        </w:rPr>
        <w:t xml:space="preserve">ieux </w:t>
      </w:r>
      <w:r w:rsidR="00B20373" w:rsidRPr="00F864EC">
        <w:rPr>
          <w:color w:val="000000"/>
          <w:sz w:val="22"/>
          <w:szCs w:val="22"/>
        </w:rPr>
        <w:t xml:space="preserve">où le public et les scientifiques peuvent </w:t>
      </w:r>
      <w:r w:rsidR="00326C48" w:rsidRPr="00F864EC">
        <w:rPr>
          <w:color w:val="000000"/>
          <w:sz w:val="22"/>
          <w:szCs w:val="22"/>
        </w:rPr>
        <w:t>être</w:t>
      </w:r>
      <w:r w:rsidR="00B20373" w:rsidRPr="00F864EC">
        <w:rPr>
          <w:color w:val="000000"/>
          <w:sz w:val="22"/>
          <w:szCs w:val="22"/>
        </w:rPr>
        <w:t xml:space="preserve"> ensemble pour trouver des solutions expérimentales et viables</w:t>
      </w:r>
      <w:r w:rsidR="00326C48" w:rsidRPr="00F864EC">
        <w:rPr>
          <w:color w:val="000000"/>
          <w:sz w:val="22"/>
          <w:szCs w:val="22"/>
        </w:rPr>
        <w:t xml:space="preserve"> et aider dans ce dialogue à </w:t>
      </w:r>
      <w:r w:rsidR="00326C48" w:rsidRPr="00F864EC">
        <w:rPr>
          <w:sz w:val="22"/>
          <w:szCs w:val="22"/>
        </w:rPr>
        <w:t>clarifier et renforcer la notion de territoire</w:t>
      </w:r>
      <w:r w:rsidRPr="00F864EC">
        <w:rPr>
          <w:color w:val="000000"/>
          <w:sz w:val="22"/>
          <w:szCs w:val="22"/>
        </w:rPr>
        <w:t>.</w:t>
      </w:r>
      <w:r w:rsidR="00326C48" w:rsidRPr="00F864EC">
        <w:rPr>
          <w:color w:val="000000"/>
          <w:sz w:val="22"/>
          <w:szCs w:val="22"/>
        </w:rPr>
        <w:t xml:space="preserve"> </w:t>
      </w:r>
      <w:r w:rsidR="00B20373" w:rsidRPr="00F864EC">
        <w:rPr>
          <w:color w:val="000000"/>
          <w:sz w:val="22"/>
          <w:szCs w:val="22"/>
        </w:rPr>
        <w:t xml:space="preserve">Des échanges avec la section 4 sont </w:t>
      </w:r>
      <w:r w:rsidR="00470A19" w:rsidRPr="00F864EC">
        <w:rPr>
          <w:color w:val="000000"/>
          <w:sz w:val="22"/>
          <w:szCs w:val="22"/>
        </w:rPr>
        <w:t>en cours</w:t>
      </w:r>
      <w:r w:rsidR="00B20373" w:rsidRPr="00F864EC">
        <w:rPr>
          <w:color w:val="000000"/>
          <w:sz w:val="22"/>
          <w:szCs w:val="22"/>
        </w:rPr>
        <w:t>.</w:t>
      </w:r>
    </w:p>
    <w:p w14:paraId="00880A5B" w14:textId="77777777" w:rsidR="005B71A5" w:rsidRPr="00F864EC" w:rsidRDefault="005B71A5" w:rsidP="00635ACA">
      <w:pPr>
        <w:jc w:val="both"/>
        <w:rPr>
          <w:sz w:val="22"/>
          <w:szCs w:val="22"/>
        </w:rPr>
      </w:pPr>
    </w:p>
    <w:p w14:paraId="6292DD0E" w14:textId="6B0F05F5" w:rsidR="003E4AFE" w:rsidRDefault="0006278F" w:rsidP="00635ACA">
      <w:pPr>
        <w:jc w:val="both"/>
        <w:rPr>
          <w:sz w:val="22"/>
          <w:szCs w:val="22"/>
        </w:rPr>
      </w:pPr>
      <w:r w:rsidRPr="00F864EC">
        <w:rPr>
          <w:sz w:val="22"/>
          <w:szCs w:val="22"/>
        </w:rPr>
        <w:t>Dans cette interface science/société</w:t>
      </w:r>
      <w:r w:rsidR="00371558" w:rsidRPr="00F864EC">
        <w:rPr>
          <w:sz w:val="22"/>
          <w:szCs w:val="22"/>
        </w:rPr>
        <w:t>s</w:t>
      </w:r>
      <w:r w:rsidRPr="00F864EC">
        <w:rPr>
          <w:sz w:val="22"/>
          <w:szCs w:val="22"/>
        </w:rPr>
        <w:t xml:space="preserve"> où les politiques publiques ont</w:t>
      </w:r>
      <w:r w:rsidR="00091BB9">
        <w:rPr>
          <w:sz w:val="22"/>
          <w:szCs w:val="22"/>
        </w:rPr>
        <w:t xml:space="preserve"> toute leur place, une séquence</w:t>
      </w:r>
      <w:r w:rsidR="0096163F" w:rsidRPr="00F864EC">
        <w:rPr>
          <w:sz w:val="22"/>
          <w:szCs w:val="22"/>
        </w:rPr>
        <w:t xml:space="preserve"> nouvelle </w:t>
      </w:r>
      <w:r w:rsidRPr="00F864EC">
        <w:rPr>
          <w:sz w:val="22"/>
          <w:szCs w:val="22"/>
        </w:rPr>
        <w:t xml:space="preserve"> </w:t>
      </w:r>
      <w:r w:rsidR="00091BB9">
        <w:rPr>
          <w:b/>
          <w:bCs/>
          <w:sz w:val="22"/>
          <w:szCs w:val="22"/>
        </w:rPr>
        <w:t>«vivre avec le risque</w:t>
      </w:r>
      <w:r w:rsidRPr="00F864EC">
        <w:rPr>
          <w:b/>
          <w:bCs/>
          <w:sz w:val="22"/>
          <w:szCs w:val="22"/>
        </w:rPr>
        <w:t>»</w:t>
      </w:r>
      <w:r w:rsidR="00091BB9">
        <w:rPr>
          <w:sz w:val="22"/>
          <w:szCs w:val="22"/>
        </w:rPr>
        <w:t xml:space="preserve">  peut se décliner </w:t>
      </w:r>
      <w:r w:rsidR="00571822" w:rsidRPr="00F864EC">
        <w:rPr>
          <w:sz w:val="22"/>
          <w:szCs w:val="22"/>
        </w:rPr>
        <w:t xml:space="preserve">depuis les connaissances des mécanismes de base jusqu’aux </w:t>
      </w:r>
      <w:r w:rsidR="0059608F" w:rsidRPr="00F864EC">
        <w:rPr>
          <w:sz w:val="22"/>
          <w:szCs w:val="22"/>
        </w:rPr>
        <w:t xml:space="preserve">problèmes de gouvernance, </w:t>
      </w:r>
      <w:r w:rsidR="0059608F" w:rsidRPr="00F864EC">
        <w:rPr>
          <w:bCs/>
          <w:color w:val="000000" w:themeColor="text1"/>
          <w:sz w:val="22"/>
          <w:szCs w:val="22"/>
        </w:rPr>
        <w:t xml:space="preserve">ceux-ci étant très divers (climatiques, économiques, pandémiques, sismiques, nucléaires, </w:t>
      </w:r>
      <w:r w:rsidR="0096163F" w:rsidRPr="00F864EC">
        <w:rPr>
          <w:bCs/>
          <w:color w:val="000000" w:themeColor="text1"/>
          <w:sz w:val="22"/>
          <w:szCs w:val="22"/>
        </w:rPr>
        <w:t>voire liés aux big data</w:t>
      </w:r>
      <w:r w:rsidR="0059608F" w:rsidRPr="00F864EC">
        <w:rPr>
          <w:bCs/>
          <w:color w:val="000000" w:themeColor="text1"/>
          <w:sz w:val="22"/>
          <w:szCs w:val="22"/>
        </w:rPr>
        <w:t>…).</w:t>
      </w:r>
      <w:r w:rsidRPr="00F864EC">
        <w:rPr>
          <w:sz w:val="22"/>
          <w:szCs w:val="22"/>
        </w:rPr>
        <w:t xml:space="preserve"> </w:t>
      </w:r>
    </w:p>
    <w:p w14:paraId="2C243765" w14:textId="77777777" w:rsidR="005B71A5" w:rsidRPr="00F864EC" w:rsidRDefault="005B71A5" w:rsidP="00635ACA">
      <w:pPr>
        <w:jc w:val="both"/>
        <w:rPr>
          <w:sz w:val="22"/>
          <w:szCs w:val="22"/>
        </w:rPr>
      </w:pPr>
    </w:p>
    <w:p w14:paraId="39EB1D66" w14:textId="0F1C2A36" w:rsidR="0071771F" w:rsidRDefault="0071771F" w:rsidP="00635ACA">
      <w:pPr>
        <w:jc w:val="both"/>
        <w:rPr>
          <w:sz w:val="22"/>
          <w:szCs w:val="22"/>
        </w:rPr>
      </w:pPr>
      <w:r>
        <w:rPr>
          <w:sz w:val="22"/>
          <w:szCs w:val="22"/>
        </w:rPr>
        <w:t>• </w:t>
      </w:r>
      <w:r w:rsidR="00091BB9">
        <w:rPr>
          <w:sz w:val="22"/>
          <w:szCs w:val="22"/>
        </w:rPr>
        <w:t xml:space="preserve">Vivre avec le risque </w:t>
      </w:r>
      <w:r w:rsidR="003E4AFE" w:rsidRPr="0071771F">
        <w:rPr>
          <w:sz w:val="22"/>
          <w:szCs w:val="22"/>
        </w:rPr>
        <w:t>: politiques pu</w:t>
      </w:r>
      <w:r w:rsidR="0096163F" w:rsidRPr="0071771F">
        <w:rPr>
          <w:sz w:val="22"/>
          <w:szCs w:val="22"/>
        </w:rPr>
        <w:t xml:space="preserve">bliques et (i) </w:t>
      </w:r>
      <w:r w:rsidR="0096163F" w:rsidRPr="0071771F">
        <w:rPr>
          <w:b/>
          <w:bCs/>
          <w:sz w:val="22"/>
          <w:szCs w:val="22"/>
        </w:rPr>
        <w:t>niveau de la mer</w:t>
      </w:r>
      <w:r w:rsidR="00091BB9">
        <w:rPr>
          <w:sz w:val="22"/>
          <w:szCs w:val="22"/>
        </w:rPr>
        <w:t xml:space="preserve"> </w:t>
      </w:r>
      <w:r w:rsidR="0096163F" w:rsidRPr="0071771F">
        <w:rPr>
          <w:sz w:val="22"/>
          <w:szCs w:val="22"/>
        </w:rPr>
        <w:t xml:space="preserve">: une </w:t>
      </w:r>
      <w:r w:rsidR="0006278F" w:rsidRPr="00D74B0B">
        <w:rPr>
          <w:b/>
          <w:sz w:val="22"/>
          <w:szCs w:val="22"/>
        </w:rPr>
        <w:t xml:space="preserve">séance </w:t>
      </w:r>
      <w:r w:rsidR="0096163F" w:rsidRPr="00D74B0B">
        <w:rPr>
          <w:b/>
          <w:sz w:val="22"/>
          <w:szCs w:val="22"/>
        </w:rPr>
        <w:t>organisée</w:t>
      </w:r>
      <w:r w:rsidR="0096163F" w:rsidRPr="0071771F">
        <w:rPr>
          <w:sz w:val="22"/>
          <w:szCs w:val="22"/>
        </w:rPr>
        <w:t xml:space="preserve"> par Christian Valentin  </w:t>
      </w:r>
      <w:r w:rsidR="0059608F" w:rsidRPr="0071771F">
        <w:rPr>
          <w:sz w:val="22"/>
          <w:szCs w:val="22"/>
        </w:rPr>
        <w:t>aborde</w:t>
      </w:r>
      <w:r w:rsidR="0096163F" w:rsidRPr="0071771F">
        <w:rPr>
          <w:sz w:val="22"/>
          <w:szCs w:val="22"/>
        </w:rPr>
        <w:t>ra</w:t>
      </w:r>
      <w:r w:rsidR="00091BB9">
        <w:rPr>
          <w:sz w:val="22"/>
          <w:szCs w:val="22"/>
        </w:rPr>
        <w:t xml:space="preserve"> la question de </w:t>
      </w:r>
      <w:r w:rsidR="0059608F" w:rsidRPr="0071771F">
        <w:rPr>
          <w:sz w:val="22"/>
          <w:szCs w:val="22"/>
        </w:rPr>
        <w:t>«la montée du niveau de la mer : ses conséquences et les scénarios d’adaptation »</w:t>
      </w:r>
      <w:r w:rsidR="00CF23CA">
        <w:rPr>
          <w:sz w:val="22"/>
          <w:szCs w:val="22"/>
        </w:rPr>
        <w:t xml:space="preserve"> en lien avec la section 4</w:t>
      </w:r>
      <w:r w:rsidR="0059608F" w:rsidRPr="0071771F">
        <w:rPr>
          <w:sz w:val="22"/>
          <w:szCs w:val="22"/>
        </w:rPr>
        <w:t xml:space="preserve">. </w:t>
      </w:r>
      <w:r w:rsidR="0096163F" w:rsidRPr="0071771F">
        <w:rPr>
          <w:sz w:val="22"/>
          <w:szCs w:val="22"/>
        </w:rPr>
        <w:t>Les travaux de prospective de</w:t>
      </w:r>
      <w:r w:rsidR="00091BB9">
        <w:rPr>
          <w:sz w:val="22"/>
          <w:szCs w:val="22"/>
        </w:rPr>
        <w:t xml:space="preserve"> </w:t>
      </w:r>
      <w:r w:rsidR="0096163F" w:rsidRPr="0071771F">
        <w:rPr>
          <w:sz w:val="22"/>
          <w:szCs w:val="22"/>
        </w:rPr>
        <w:t xml:space="preserve">Allenvi permettent des anticipations. Cette réalité </w:t>
      </w:r>
      <w:r w:rsidR="0059608F" w:rsidRPr="0071771F">
        <w:rPr>
          <w:sz w:val="22"/>
          <w:szCs w:val="22"/>
        </w:rPr>
        <w:t>va directement affecter le littoral et les zones côtières où se concentrent de nombreuses populations et activités économiques à l’échelle mondiale.</w:t>
      </w:r>
      <w:r w:rsidR="0096163F" w:rsidRPr="0071771F">
        <w:rPr>
          <w:sz w:val="22"/>
          <w:szCs w:val="22"/>
        </w:rPr>
        <w:t xml:space="preserve"> Certains </w:t>
      </w:r>
      <w:r w:rsidR="001A5585" w:rsidRPr="0071771F">
        <w:rPr>
          <w:sz w:val="22"/>
          <w:szCs w:val="22"/>
        </w:rPr>
        <w:t>E</w:t>
      </w:r>
      <w:r w:rsidR="0096163F" w:rsidRPr="0071771F">
        <w:rPr>
          <w:sz w:val="22"/>
          <w:szCs w:val="22"/>
        </w:rPr>
        <w:t>tats ont déjà changé de perspective quant à leur stratégie de politiques publiques pour passer d’une protection impérative des populations par de forts investisse</w:t>
      </w:r>
      <w:r w:rsidR="00091BB9">
        <w:rPr>
          <w:sz w:val="22"/>
          <w:szCs w:val="22"/>
        </w:rPr>
        <w:t>ments à un changement radical «</w:t>
      </w:r>
      <w:r w:rsidR="0096163F" w:rsidRPr="0071771F">
        <w:rPr>
          <w:sz w:val="22"/>
          <w:szCs w:val="22"/>
        </w:rPr>
        <w:t>pour viv</w:t>
      </w:r>
      <w:r w:rsidR="00091BB9">
        <w:rPr>
          <w:sz w:val="22"/>
          <w:szCs w:val="22"/>
        </w:rPr>
        <w:t xml:space="preserve">re avec les aléas météo-marins </w:t>
      </w:r>
      <w:r w:rsidR="0096163F" w:rsidRPr="0071771F">
        <w:rPr>
          <w:sz w:val="22"/>
          <w:szCs w:val="22"/>
        </w:rPr>
        <w:t>plutôt que de s’y opposer ». Qu’en est</w:t>
      </w:r>
      <w:r>
        <w:rPr>
          <w:sz w:val="22"/>
          <w:szCs w:val="22"/>
        </w:rPr>
        <w:t>-</w:t>
      </w:r>
      <w:r w:rsidR="0096163F" w:rsidRPr="0071771F">
        <w:rPr>
          <w:sz w:val="22"/>
          <w:szCs w:val="22"/>
        </w:rPr>
        <w:t>il pour nos territoires littoraux</w:t>
      </w:r>
      <w:r w:rsidR="00091BB9">
        <w:rPr>
          <w:sz w:val="22"/>
          <w:szCs w:val="22"/>
        </w:rPr>
        <w:t xml:space="preserve"> métropolitains ou outre-marins</w:t>
      </w:r>
      <w:r w:rsidR="0096163F" w:rsidRPr="0071771F">
        <w:rPr>
          <w:sz w:val="22"/>
          <w:szCs w:val="22"/>
        </w:rPr>
        <w:t>?</w:t>
      </w:r>
    </w:p>
    <w:p w14:paraId="68BBEF74" w14:textId="77777777" w:rsidR="0071771F" w:rsidRPr="0071771F" w:rsidRDefault="0071771F" w:rsidP="00635ACA">
      <w:pPr>
        <w:jc w:val="both"/>
        <w:rPr>
          <w:sz w:val="18"/>
          <w:szCs w:val="18"/>
        </w:rPr>
      </w:pPr>
    </w:p>
    <w:p w14:paraId="0592E52D" w14:textId="1F745B99" w:rsidR="001A5585" w:rsidRDefault="0071771F" w:rsidP="00635ACA">
      <w:pPr>
        <w:jc w:val="both"/>
        <w:rPr>
          <w:sz w:val="22"/>
          <w:szCs w:val="22"/>
        </w:rPr>
      </w:pPr>
      <w:r>
        <w:rPr>
          <w:sz w:val="22"/>
          <w:szCs w:val="22"/>
        </w:rPr>
        <w:t>• </w:t>
      </w:r>
      <w:r w:rsidR="00091BB9">
        <w:rPr>
          <w:sz w:val="22"/>
          <w:szCs w:val="22"/>
        </w:rPr>
        <w:t xml:space="preserve">Vivre avec le risque: (ii) </w:t>
      </w:r>
      <w:r w:rsidR="0096163F" w:rsidRPr="0071771F">
        <w:rPr>
          <w:sz w:val="22"/>
          <w:szCs w:val="22"/>
        </w:rPr>
        <w:t xml:space="preserve">en lien avec le </w:t>
      </w:r>
      <w:r w:rsidR="001A5585" w:rsidRPr="0071771F">
        <w:rPr>
          <w:b/>
          <w:bCs/>
          <w:sz w:val="22"/>
          <w:szCs w:val="22"/>
        </w:rPr>
        <w:t>c</w:t>
      </w:r>
      <w:r w:rsidR="0096163F" w:rsidRPr="0071771F">
        <w:rPr>
          <w:b/>
          <w:bCs/>
          <w:sz w:val="22"/>
          <w:szCs w:val="22"/>
        </w:rPr>
        <w:t xml:space="preserve">hangement </w:t>
      </w:r>
      <w:r w:rsidR="001A5585" w:rsidRPr="0071771F">
        <w:rPr>
          <w:b/>
          <w:bCs/>
          <w:sz w:val="22"/>
          <w:szCs w:val="22"/>
        </w:rPr>
        <w:t>c</w:t>
      </w:r>
      <w:r w:rsidR="0096163F" w:rsidRPr="0071771F">
        <w:rPr>
          <w:b/>
          <w:bCs/>
          <w:sz w:val="22"/>
          <w:szCs w:val="22"/>
        </w:rPr>
        <w:t>limatique</w:t>
      </w:r>
      <w:r w:rsidR="0096163F" w:rsidRPr="0071771F">
        <w:rPr>
          <w:sz w:val="22"/>
          <w:szCs w:val="22"/>
        </w:rPr>
        <w:t xml:space="preserve">, les </w:t>
      </w:r>
      <w:r w:rsidR="0006278F" w:rsidRPr="0071771F">
        <w:rPr>
          <w:sz w:val="22"/>
          <w:szCs w:val="22"/>
        </w:rPr>
        <w:t>risques connus et maitrisés par les entreprises</w:t>
      </w:r>
      <w:r w:rsidR="00C86AE6">
        <w:rPr>
          <w:sz w:val="22"/>
          <w:szCs w:val="22"/>
        </w:rPr>
        <w:t>,</w:t>
      </w:r>
      <w:r w:rsidR="0006278F" w:rsidRPr="0071771F">
        <w:rPr>
          <w:sz w:val="22"/>
          <w:szCs w:val="22"/>
        </w:rPr>
        <w:t xml:space="preserve"> y compris les changements des consommateurs</w:t>
      </w:r>
      <w:r w:rsidR="00C86AE6">
        <w:rPr>
          <w:sz w:val="22"/>
          <w:szCs w:val="22"/>
        </w:rPr>
        <w:t>,</w:t>
      </w:r>
      <w:r w:rsidR="00091BB9">
        <w:rPr>
          <w:sz w:val="22"/>
          <w:szCs w:val="22"/>
        </w:rPr>
        <w:t xml:space="preserve"> </w:t>
      </w:r>
      <w:r w:rsidR="0096163F" w:rsidRPr="0071771F">
        <w:rPr>
          <w:sz w:val="22"/>
          <w:szCs w:val="22"/>
        </w:rPr>
        <w:t xml:space="preserve">sont </w:t>
      </w:r>
      <w:r w:rsidR="00091BB9">
        <w:rPr>
          <w:sz w:val="22"/>
          <w:szCs w:val="22"/>
        </w:rPr>
        <w:t xml:space="preserve">déjà en cours d’analyse pour </w:t>
      </w:r>
      <w:r w:rsidR="0096163F" w:rsidRPr="0071771F">
        <w:rPr>
          <w:sz w:val="22"/>
          <w:szCs w:val="22"/>
        </w:rPr>
        <w:t>tenter des changements int</w:t>
      </w:r>
      <w:r w:rsidR="001A5585" w:rsidRPr="0071771F">
        <w:rPr>
          <w:sz w:val="22"/>
          <w:szCs w:val="22"/>
        </w:rPr>
        <w:t>é</w:t>
      </w:r>
      <w:r w:rsidR="0096163F" w:rsidRPr="0071771F">
        <w:rPr>
          <w:sz w:val="22"/>
          <w:szCs w:val="22"/>
        </w:rPr>
        <w:t>grateurs.</w:t>
      </w:r>
      <w:r w:rsidR="00D74B0B">
        <w:rPr>
          <w:sz w:val="22"/>
          <w:szCs w:val="22"/>
        </w:rPr>
        <w:t xml:space="preserve"> </w:t>
      </w:r>
      <w:r w:rsidR="00A710B8" w:rsidRPr="00D74B0B">
        <w:rPr>
          <w:sz w:val="22"/>
          <w:szCs w:val="22"/>
        </w:rPr>
        <w:t>De même la résilience et la préparation au changement climatique remet</w:t>
      </w:r>
      <w:r w:rsidR="00A710B8">
        <w:rPr>
          <w:sz w:val="22"/>
          <w:szCs w:val="22"/>
        </w:rPr>
        <w:t>tent</w:t>
      </w:r>
      <w:r w:rsidR="00A710B8" w:rsidRPr="00D74B0B">
        <w:rPr>
          <w:sz w:val="22"/>
          <w:szCs w:val="22"/>
        </w:rPr>
        <w:t xml:space="preserve"> </w:t>
      </w:r>
      <w:r w:rsidR="00091BB9">
        <w:rPr>
          <w:sz w:val="22"/>
          <w:szCs w:val="22"/>
        </w:rPr>
        <w:t xml:space="preserve">en question nombre de pratiques </w:t>
      </w:r>
      <w:r w:rsidR="00A710B8" w:rsidRPr="00D74B0B">
        <w:rPr>
          <w:sz w:val="22"/>
          <w:szCs w:val="22"/>
        </w:rPr>
        <w:t>des agriculteurs comme</w:t>
      </w:r>
      <w:r w:rsidR="00A710B8">
        <w:rPr>
          <w:sz w:val="22"/>
          <w:szCs w:val="22"/>
        </w:rPr>
        <w:t xml:space="preserve"> le montrent </w:t>
      </w:r>
      <w:r w:rsidR="00A710B8" w:rsidRPr="00D74B0B">
        <w:rPr>
          <w:sz w:val="22"/>
          <w:szCs w:val="22"/>
        </w:rPr>
        <w:t>les évènements agro-climat</w:t>
      </w:r>
      <w:r w:rsidR="00A710B8" w:rsidRPr="00A710B8">
        <w:rPr>
          <w:sz w:val="22"/>
          <w:szCs w:val="22"/>
        </w:rPr>
        <w:t>iques récents</w:t>
      </w:r>
      <w:r w:rsidR="00D74B0B">
        <w:rPr>
          <w:sz w:val="22"/>
          <w:szCs w:val="22"/>
        </w:rPr>
        <w:t xml:space="preserve">. </w:t>
      </w:r>
      <w:r w:rsidR="00A710B8" w:rsidRPr="00D74B0B">
        <w:rPr>
          <w:sz w:val="22"/>
          <w:szCs w:val="22"/>
        </w:rPr>
        <w:t>La gestion des sols, les systèmes d’exploitation</w:t>
      </w:r>
      <w:r w:rsidR="00D74B0B">
        <w:rPr>
          <w:sz w:val="22"/>
          <w:szCs w:val="22"/>
        </w:rPr>
        <w:t>,</w:t>
      </w:r>
      <w:r w:rsidR="00A710B8" w:rsidRPr="00D74B0B">
        <w:rPr>
          <w:sz w:val="22"/>
          <w:szCs w:val="22"/>
        </w:rPr>
        <w:t xml:space="preserve"> etc</w:t>
      </w:r>
      <w:r w:rsidR="00D74B0B">
        <w:rPr>
          <w:sz w:val="22"/>
          <w:szCs w:val="22"/>
        </w:rPr>
        <w:t>.</w:t>
      </w:r>
      <w:r w:rsidR="00091BB9">
        <w:rPr>
          <w:sz w:val="22"/>
          <w:szCs w:val="22"/>
        </w:rPr>
        <w:t xml:space="preserve"> vont devoir en tenir compte</w:t>
      </w:r>
      <w:r w:rsidR="00A710B8" w:rsidRPr="00D74B0B">
        <w:rPr>
          <w:sz w:val="22"/>
          <w:szCs w:val="22"/>
        </w:rPr>
        <w:t>; faut-il plus ou moins de cultures irriguées, des retenues collinaires ou du stockage d’e</w:t>
      </w:r>
      <w:r w:rsidR="00091BB9">
        <w:rPr>
          <w:sz w:val="22"/>
          <w:szCs w:val="22"/>
        </w:rPr>
        <w:t xml:space="preserve">au dans les sols, ou les nappes </w:t>
      </w:r>
      <w:r w:rsidR="00A710B8" w:rsidRPr="00D74B0B">
        <w:rPr>
          <w:sz w:val="22"/>
          <w:szCs w:val="22"/>
        </w:rPr>
        <w:t>?</w:t>
      </w:r>
      <w:r w:rsidR="00A710B8">
        <w:t xml:space="preserve"> </w:t>
      </w:r>
      <w:r w:rsidR="00A710B8">
        <w:rPr>
          <w:sz w:val="22"/>
          <w:szCs w:val="22"/>
        </w:rPr>
        <w:t xml:space="preserve">Ces moteurs de changement </w:t>
      </w:r>
      <w:r w:rsidR="0096163F" w:rsidRPr="0071771F">
        <w:rPr>
          <w:sz w:val="22"/>
          <w:szCs w:val="22"/>
        </w:rPr>
        <w:t xml:space="preserve"> suscite</w:t>
      </w:r>
      <w:r w:rsidR="00D74B0B">
        <w:rPr>
          <w:sz w:val="22"/>
          <w:szCs w:val="22"/>
        </w:rPr>
        <w:t>nt</w:t>
      </w:r>
      <w:r w:rsidR="0096163F" w:rsidRPr="0071771F">
        <w:rPr>
          <w:sz w:val="22"/>
          <w:szCs w:val="22"/>
        </w:rPr>
        <w:t xml:space="preserve"> une réflexion pou</w:t>
      </w:r>
      <w:r w:rsidR="00091BB9">
        <w:rPr>
          <w:sz w:val="22"/>
          <w:szCs w:val="22"/>
        </w:rPr>
        <w:t>r illustrer</w:t>
      </w:r>
      <w:r w:rsidR="0096163F" w:rsidRPr="0071771F">
        <w:rPr>
          <w:sz w:val="22"/>
          <w:szCs w:val="22"/>
        </w:rPr>
        <w:t xml:space="preserve"> </w:t>
      </w:r>
      <w:r w:rsidR="00A710B8">
        <w:rPr>
          <w:sz w:val="22"/>
          <w:szCs w:val="22"/>
        </w:rPr>
        <w:t>des</w:t>
      </w:r>
      <w:r w:rsidR="00A710B8" w:rsidRPr="0071771F">
        <w:rPr>
          <w:sz w:val="22"/>
          <w:szCs w:val="22"/>
        </w:rPr>
        <w:t xml:space="preserve"> </w:t>
      </w:r>
      <w:r w:rsidR="0096163F" w:rsidRPr="0071771F">
        <w:rPr>
          <w:sz w:val="22"/>
          <w:szCs w:val="22"/>
        </w:rPr>
        <w:t>facette</w:t>
      </w:r>
      <w:r w:rsidR="00A710B8">
        <w:rPr>
          <w:sz w:val="22"/>
          <w:szCs w:val="22"/>
        </w:rPr>
        <w:t>s</w:t>
      </w:r>
      <w:r w:rsidR="0096163F" w:rsidRPr="0071771F">
        <w:rPr>
          <w:sz w:val="22"/>
          <w:szCs w:val="22"/>
        </w:rPr>
        <w:t xml:space="preserve"> nouvelle</w:t>
      </w:r>
      <w:r w:rsidR="00A710B8">
        <w:rPr>
          <w:sz w:val="22"/>
          <w:szCs w:val="22"/>
        </w:rPr>
        <w:t>s</w:t>
      </w:r>
      <w:r w:rsidR="0096163F" w:rsidRPr="0071771F">
        <w:rPr>
          <w:sz w:val="22"/>
          <w:szCs w:val="22"/>
        </w:rPr>
        <w:t xml:space="preserve"> de ce dialogue science</w:t>
      </w:r>
      <w:r w:rsidR="00D209FA">
        <w:rPr>
          <w:sz w:val="22"/>
          <w:szCs w:val="22"/>
        </w:rPr>
        <w:t>-</w:t>
      </w:r>
      <w:r w:rsidR="0096163F" w:rsidRPr="0071771F">
        <w:rPr>
          <w:sz w:val="22"/>
          <w:szCs w:val="22"/>
        </w:rPr>
        <w:t>société</w:t>
      </w:r>
      <w:r w:rsidR="0020403F" w:rsidRPr="0071771F">
        <w:rPr>
          <w:sz w:val="22"/>
          <w:szCs w:val="22"/>
        </w:rPr>
        <w:t>: celle d’une approche exigeante des cadres d’évaluation qui doivent être développés par les initiatives multi-acteurs en matière de climat et d’agriculture</w:t>
      </w:r>
      <w:r w:rsidR="00D209FA">
        <w:rPr>
          <w:sz w:val="22"/>
          <w:szCs w:val="22"/>
        </w:rPr>
        <w:t>.</w:t>
      </w:r>
      <w:r w:rsidR="0020403F" w:rsidRPr="0071771F">
        <w:rPr>
          <w:sz w:val="22"/>
          <w:szCs w:val="22"/>
        </w:rPr>
        <w:t xml:space="preserve"> responsable </w:t>
      </w:r>
      <w:r w:rsidR="0006278F" w:rsidRPr="0071771F">
        <w:rPr>
          <w:sz w:val="22"/>
          <w:szCs w:val="22"/>
        </w:rPr>
        <w:t>C</w:t>
      </w:r>
      <w:r w:rsidR="00091BB9">
        <w:rPr>
          <w:sz w:val="22"/>
          <w:szCs w:val="22"/>
        </w:rPr>
        <w:t>laire</w:t>
      </w:r>
      <w:r w:rsidR="0006278F" w:rsidRPr="0071771F">
        <w:rPr>
          <w:sz w:val="22"/>
          <w:szCs w:val="22"/>
        </w:rPr>
        <w:t>.</w:t>
      </w:r>
      <w:r w:rsidR="001A5585" w:rsidRPr="0071771F">
        <w:rPr>
          <w:sz w:val="22"/>
          <w:szCs w:val="22"/>
        </w:rPr>
        <w:t xml:space="preserve"> </w:t>
      </w:r>
      <w:r w:rsidR="0006278F" w:rsidRPr="0071771F">
        <w:rPr>
          <w:sz w:val="22"/>
          <w:szCs w:val="22"/>
        </w:rPr>
        <w:t>Tutenuit</w:t>
      </w:r>
      <w:r w:rsidR="00091BB9">
        <w:rPr>
          <w:sz w:val="22"/>
          <w:szCs w:val="22"/>
        </w:rPr>
        <w:t>.</w:t>
      </w:r>
      <w:r w:rsidR="0006278F" w:rsidRPr="0071771F">
        <w:rPr>
          <w:sz w:val="22"/>
          <w:szCs w:val="22"/>
        </w:rPr>
        <w:t> </w:t>
      </w:r>
    </w:p>
    <w:p w14:paraId="67279C61" w14:textId="77777777" w:rsidR="0071771F" w:rsidRPr="0071771F" w:rsidRDefault="0071771F" w:rsidP="00635ACA">
      <w:pPr>
        <w:jc w:val="both"/>
        <w:rPr>
          <w:sz w:val="18"/>
          <w:szCs w:val="18"/>
        </w:rPr>
      </w:pPr>
    </w:p>
    <w:p w14:paraId="5BD91B6A" w14:textId="4475E750" w:rsidR="003E4AFE" w:rsidRPr="0071771F" w:rsidRDefault="0071771F" w:rsidP="00635ACA">
      <w:pPr>
        <w:jc w:val="both"/>
        <w:rPr>
          <w:sz w:val="22"/>
          <w:szCs w:val="22"/>
        </w:rPr>
      </w:pPr>
      <w:r>
        <w:rPr>
          <w:sz w:val="22"/>
          <w:szCs w:val="22"/>
        </w:rPr>
        <w:t>• </w:t>
      </w:r>
      <w:r w:rsidR="00091BB9">
        <w:rPr>
          <w:sz w:val="22"/>
          <w:szCs w:val="22"/>
        </w:rPr>
        <w:t>Vivre avec le risque</w:t>
      </w:r>
      <w:r w:rsidR="0006278F" w:rsidRPr="0071771F">
        <w:rPr>
          <w:sz w:val="22"/>
          <w:szCs w:val="22"/>
        </w:rPr>
        <w:t>:</w:t>
      </w:r>
      <w:r w:rsidR="00571822" w:rsidRPr="0071771F">
        <w:rPr>
          <w:sz w:val="22"/>
          <w:szCs w:val="22"/>
        </w:rPr>
        <w:t xml:space="preserve"> (iii)</w:t>
      </w:r>
      <w:r w:rsidR="0006278F" w:rsidRPr="0071771F">
        <w:rPr>
          <w:sz w:val="22"/>
          <w:szCs w:val="22"/>
        </w:rPr>
        <w:t xml:space="preserve"> comment aborder les </w:t>
      </w:r>
      <w:r w:rsidR="0006278F" w:rsidRPr="0071771F">
        <w:rPr>
          <w:b/>
          <w:bCs/>
          <w:sz w:val="22"/>
          <w:szCs w:val="22"/>
        </w:rPr>
        <w:t>notions éthiques</w:t>
      </w:r>
      <w:r w:rsidR="0006278F" w:rsidRPr="0071771F">
        <w:rPr>
          <w:sz w:val="22"/>
          <w:szCs w:val="22"/>
        </w:rPr>
        <w:t xml:space="preserve"> pour des connaissances et des méthodes en open access pour tout le monde académique et la société, et pas seulement pour les entreprises.</w:t>
      </w:r>
    </w:p>
    <w:p w14:paraId="32FD867A" w14:textId="77777777" w:rsidR="0082717D" w:rsidRPr="00F864EC" w:rsidRDefault="0082717D" w:rsidP="00635ACA">
      <w:pPr>
        <w:pStyle w:val="Paragraphedeliste"/>
        <w:ind w:left="0"/>
        <w:jc w:val="both"/>
        <w:rPr>
          <w:rFonts w:ascii="Times New Roman" w:eastAsia="Times New Roman" w:hAnsi="Times New Roman" w:cs="Times New Roman"/>
          <w:sz w:val="22"/>
          <w:szCs w:val="22"/>
          <w:lang w:eastAsia="fr-FR"/>
        </w:rPr>
      </w:pPr>
    </w:p>
    <w:p w14:paraId="431CCF69" w14:textId="5999F2A0" w:rsidR="0020403F" w:rsidRPr="00F864EC" w:rsidRDefault="0020403F" w:rsidP="00635ACA">
      <w:pPr>
        <w:jc w:val="both"/>
        <w:rPr>
          <w:sz w:val="22"/>
          <w:szCs w:val="22"/>
        </w:rPr>
      </w:pPr>
      <w:r w:rsidRPr="00F864EC">
        <w:rPr>
          <w:sz w:val="22"/>
          <w:szCs w:val="22"/>
        </w:rPr>
        <w:t>Ces questions s’appliquent autant à des terrains au Sud qu’au Nord, et à des échelles autant régionales qu’européennes ou internationales</w:t>
      </w:r>
      <w:r w:rsidR="001A5585" w:rsidRPr="00F864EC">
        <w:rPr>
          <w:sz w:val="22"/>
          <w:szCs w:val="22"/>
        </w:rPr>
        <w:t>.</w:t>
      </w:r>
    </w:p>
    <w:sectPr w:rsidR="0020403F" w:rsidRPr="00F864EC">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0FCCC" w14:textId="77777777" w:rsidR="007F4B2B" w:rsidRDefault="007F4B2B" w:rsidP="004310E2">
      <w:r>
        <w:separator/>
      </w:r>
    </w:p>
  </w:endnote>
  <w:endnote w:type="continuationSeparator" w:id="0">
    <w:p w14:paraId="51086E19" w14:textId="77777777" w:rsidR="007F4B2B" w:rsidRDefault="007F4B2B" w:rsidP="0043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124917590"/>
      <w:docPartObj>
        <w:docPartGallery w:val="Page Numbers (Bottom of Page)"/>
        <w:docPartUnique/>
      </w:docPartObj>
    </w:sdtPr>
    <w:sdtEndPr>
      <w:rPr>
        <w:rStyle w:val="Numrodepage"/>
      </w:rPr>
    </w:sdtEndPr>
    <w:sdtContent>
      <w:p w14:paraId="498D66C7" w14:textId="0B7672A9" w:rsidR="00D74B0B" w:rsidRDefault="00D74B0B" w:rsidP="00A662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D1F414" w14:textId="77777777" w:rsidR="00D74B0B" w:rsidRDefault="00D74B0B" w:rsidP="00D74B0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109328517"/>
      <w:docPartObj>
        <w:docPartGallery w:val="Page Numbers (Bottom of Page)"/>
        <w:docPartUnique/>
      </w:docPartObj>
    </w:sdtPr>
    <w:sdtEndPr>
      <w:rPr>
        <w:rStyle w:val="Numrodepage"/>
      </w:rPr>
    </w:sdtEndPr>
    <w:sdtContent>
      <w:p w14:paraId="5C22B93D" w14:textId="5D7A8000" w:rsidR="00D74B0B" w:rsidRDefault="00D74B0B" w:rsidP="00A662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F4B2B">
          <w:rPr>
            <w:rStyle w:val="Numrodepage"/>
            <w:noProof/>
          </w:rPr>
          <w:t>1</w:t>
        </w:r>
        <w:r>
          <w:rPr>
            <w:rStyle w:val="Numrodepage"/>
          </w:rPr>
          <w:fldChar w:fldCharType="end"/>
        </w:r>
      </w:p>
    </w:sdtContent>
  </w:sdt>
  <w:p w14:paraId="27114221" w14:textId="77777777" w:rsidR="00D74B0B" w:rsidRDefault="00D74B0B" w:rsidP="00D74B0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754CD" w14:textId="77777777" w:rsidR="007F4B2B" w:rsidRDefault="007F4B2B" w:rsidP="004310E2">
      <w:r>
        <w:separator/>
      </w:r>
    </w:p>
  </w:footnote>
  <w:footnote w:type="continuationSeparator" w:id="0">
    <w:p w14:paraId="09313377" w14:textId="77777777" w:rsidR="007F4B2B" w:rsidRDefault="007F4B2B" w:rsidP="00431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DD8"/>
    <w:multiLevelType w:val="hybridMultilevel"/>
    <w:tmpl w:val="D39EDD8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350126C"/>
    <w:multiLevelType w:val="hybridMultilevel"/>
    <w:tmpl w:val="6382FB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0D50B6"/>
    <w:multiLevelType w:val="hybridMultilevel"/>
    <w:tmpl w:val="250C8ECE"/>
    <w:lvl w:ilvl="0" w:tplc="040C0001">
      <w:start w:val="1"/>
      <w:numFmt w:val="bullet"/>
      <w:lvlText w:val=""/>
      <w:lvlJc w:val="left"/>
      <w:pPr>
        <w:ind w:left="720" w:hanging="360"/>
      </w:pPr>
      <w:rPr>
        <w:rFonts w:ascii="Symbol" w:hAnsi="Symbol" w:hint="default"/>
      </w:rPr>
    </w:lvl>
    <w:lvl w:ilvl="1" w:tplc="E182D09A">
      <w:start w:val="1"/>
      <w:numFmt w:val="bullet"/>
      <w:lvlText w:val="o"/>
      <w:lvlJc w:val="left"/>
      <w:pPr>
        <w:ind w:left="1495" w:hanging="360"/>
      </w:pPr>
      <w:rPr>
        <w:rFonts w:ascii="Courier New" w:hAnsi="Courier New" w:cs="Courier New" w:hint="default"/>
        <w:color w:val="000000" w:themeColor="text1"/>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747411"/>
    <w:multiLevelType w:val="hybridMultilevel"/>
    <w:tmpl w:val="DE502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D40B81"/>
    <w:multiLevelType w:val="hybridMultilevel"/>
    <w:tmpl w:val="28F6D2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04A3172"/>
    <w:multiLevelType w:val="hybridMultilevel"/>
    <w:tmpl w:val="2B50FF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CB11A3E"/>
    <w:multiLevelType w:val="hybridMultilevel"/>
    <w:tmpl w:val="0902D7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DCA1DA8"/>
    <w:multiLevelType w:val="hybridMultilevel"/>
    <w:tmpl w:val="9732EE30"/>
    <w:lvl w:ilvl="0" w:tplc="D83400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005D84"/>
    <w:multiLevelType w:val="hybridMultilevel"/>
    <w:tmpl w:val="93C80916"/>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B13B48"/>
    <w:multiLevelType w:val="hybridMultilevel"/>
    <w:tmpl w:val="121E4C78"/>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8"/>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AA"/>
    <w:rsid w:val="0001416C"/>
    <w:rsid w:val="000257BE"/>
    <w:rsid w:val="0006278F"/>
    <w:rsid w:val="00080351"/>
    <w:rsid w:val="00082DBC"/>
    <w:rsid w:val="00086123"/>
    <w:rsid w:val="00091BB9"/>
    <w:rsid w:val="000B3F03"/>
    <w:rsid w:val="000E348E"/>
    <w:rsid w:val="001A5585"/>
    <w:rsid w:val="001D651A"/>
    <w:rsid w:val="001E7F61"/>
    <w:rsid w:val="0020403F"/>
    <w:rsid w:val="00260EA2"/>
    <w:rsid w:val="00261A2C"/>
    <w:rsid w:val="00262DF1"/>
    <w:rsid w:val="002711FE"/>
    <w:rsid w:val="002771AB"/>
    <w:rsid w:val="00280C47"/>
    <w:rsid w:val="002C7C56"/>
    <w:rsid w:val="002E0232"/>
    <w:rsid w:val="002E7930"/>
    <w:rsid w:val="002F323A"/>
    <w:rsid w:val="00316B75"/>
    <w:rsid w:val="00326C48"/>
    <w:rsid w:val="00371558"/>
    <w:rsid w:val="00383A3C"/>
    <w:rsid w:val="003E22C8"/>
    <w:rsid w:val="003E4AFE"/>
    <w:rsid w:val="0040034B"/>
    <w:rsid w:val="004310E2"/>
    <w:rsid w:val="00466536"/>
    <w:rsid w:val="00470A19"/>
    <w:rsid w:val="004D2FDE"/>
    <w:rsid w:val="005321EF"/>
    <w:rsid w:val="005600A8"/>
    <w:rsid w:val="00571822"/>
    <w:rsid w:val="0059608F"/>
    <w:rsid w:val="005977C7"/>
    <w:rsid w:val="005A0AB7"/>
    <w:rsid w:val="005B71A5"/>
    <w:rsid w:val="005D4DD6"/>
    <w:rsid w:val="00624E4C"/>
    <w:rsid w:val="0062528B"/>
    <w:rsid w:val="00635ACA"/>
    <w:rsid w:val="00691040"/>
    <w:rsid w:val="007068E2"/>
    <w:rsid w:val="0071771F"/>
    <w:rsid w:val="00763E91"/>
    <w:rsid w:val="007F4B2B"/>
    <w:rsid w:val="008242C3"/>
    <w:rsid w:val="0082717D"/>
    <w:rsid w:val="00830F26"/>
    <w:rsid w:val="00852A37"/>
    <w:rsid w:val="00872EE6"/>
    <w:rsid w:val="008F665B"/>
    <w:rsid w:val="00922CFE"/>
    <w:rsid w:val="00933ABB"/>
    <w:rsid w:val="0096163F"/>
    <w:rsid w:val="00962A68"/>
    <w:rsid w:val="009A039C"/>
    <w:rsid w:val="009C1E42"/>
    <w:rsid w:val="009D74BE"/>
    <w:rsid w:val="009E4B53"/>
    <w:rsid w:val="009F0FD1"/>
    <w:rsid w:val="009F1D44"/>
    <w:rsid w:val="00A31E99"/>
    <w:rsid w:val="00A710B8"/>
    <w:rsid w:val="00AA1E38"/>
    <w:rsid w:val="00AB4B1C"/>
    <w:rsid w:val="00AC728D"/>
    <w:rsid w:val="00B20373"/>
    <w:rsid w:val="00B64C84"/>
    <w:rsid w:val="00B8710C"/>
    <w:rsid w:val="00B95CA5"/>
    <w:rsid w:val="00BB0EF1"/>
    <w:rsid w:val="00BF6605"/>
    <w:rsid w:val="00C15ADE"/>
    <w:rsid w:val="00C43BED"/>
    <w:rsid w:val="00C75AF2"/>
    <w:rsid w:val="00C86AE6"/>
    <w:rsid w:val="00CA41AA"/>
    <w:rsid w:val="00CA43A8"/>
    <w:rsid w:val="00CF23CA"/>
    <w:rsid w:val="00D209FA"/>
    <w:rsid w:val="00D55ABC"/>
    <w:rsid w:val="00D74B0B"/>
    <w:rsid w:val="00E11890"/>
    <w:rsid w:val="00E568B7"/>
    <w:rsid w:val="00E654A5"/>
    <w:rsid w:val="00E80A47"/>
    <w:rsid w:val="00E91A13"/>
    <w:rsid w:val="00F5570F"/>
    <w:rsid w:val="00F56AD1"/>
    <w:rsid w:val="00F864EC"/>
    <w:rsid w:val="00F97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01FB"/>
  <w15:chartTrackingRefBased/>
  <w15:docId w15:val="{BD0FD49D-AA10-4BE4-87D9-60C71CC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0E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310E2"/>
    <w:rPr>
      <w:sz w:val="20"/>
      <w:szCs w:val="20"/>
    </w:rPr>
  </w:style>
  <w:style w:type="character" w:customStyle="1" w:styleId="NotedebasdepageCar">
    <w:name w:val="Note de bas de page Car"/>
    <w:basedOn w:val="Policepardfaut"/>
    <w:link w:val="Notedebasdepage"/>
    <w:uiPriority w:val="99"/>
    <w:semiHidden/>
    <w:rsid w:val="004310E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310E2"/>
    <w:pPr>
      <w:ind w:left="720"/>
      <w:contextualSpacing/>
    </w:pPr>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4310E2"/>
    <w:rPr>
      <w:vertAlign w:val="superscript"/>
    </w:rPr>
  </w:style>
  <w:style w:type="character" w:styleId="Lienhypertexte">
    <w:name w:val="Hyperlink"/>
    <w:basedOn w:val="Policepardfaut"/>
    <w:uiPriority w:val="99"/>
    <w:unhideWhenUsed/>
    <w:rsid w:val="00261A2C"/>
    <w:rPr>
      <w:color w:val="0563C1" w:themeColor="hyperlink"/>
      <w:u w:val="single"/>
    </w:rPr>
  </w:style>
  <w:style w:type="paragraph" w:styleId="Pieddepage">
    <w:name w:val="footer"/>
    <w:basedOn w:val="Normal"/>
    <w:link w:val="PieddepageCar"/>
    <w:uiPriority w:val="99"/>
    <w:rsid w:val="00691040"/>
    <w:pPr>
      <w:tabs>
        <w:tab w:val="center" w:pos="4536"/>
        <w:tab w:val="right" w:pos="9072"/>
      </w:tabs>
    </w:pPr>
    <w:rPr>
      <w:rFonts w:ascii="Cambria" w:eastAsia="MS Minngs" w:hAnsi="Cambria"/>
    </w:rPr>
  </w:style>
  <w:style w:type="character" w:customStyle="1" w:styleId="PieddepageCar">
    <w:name w:val="Pied de page Car"/>
    <w:basedOn w:val="Policepardfaut"/>
    <w:link w:val="Pieddepage"/>
    <w:uiPriority w:val="99"/>
    <w:rsid w:val="00691040"/>
    <w:rPr>
      <w:rFonts w:ascii="Cambria" w:eastAsia="MS Minngs" w:hAnsi="Cambria" w:cs="Times New Roman"/>
      <w:sz w:val="24"/>
      <w:szCs w:val="24"/>
      <w:lang w:eastAsia="fr-FR"/>
    </w:rPr>
  </w:style>
  <w:style w:type="table" w:styleId="Grilledutableau">
    <w:name w:val="Table Grid"/>
    <w:basedOn w:val="TableauNormal"/>
    <w:uiPriority w:val="39"/>
    <w:rsid w:val="005A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80351"/>
    <w:rPr>
      <w:sz w:val="16"/>
      <w:szCs w:val="16"/>
    </w:rPr>
  </w:style>
  <w:style w:type="paragraph" w:styleId="Commentaire">
    <w:name w:val="annotation text"/>
    <w:basedOn w:val="Normal"/>
    <w:link w:val="CommentaireCar"/>
    <w:uiPriority w:val="99"/>
    <w:semiHidden/>
    <w:unhideWhenUsed/>
    <w:rsid w:val="00080351"/>
    <w:rPr>
      <w:sz w:val="20"/>
      <w:szCs w:val="20"/>
    </w:rPr>
  </w:style>
  <w:style w:type="character" w:customStyle="1" w:styleId="CommentaireCar">
    <w:name w:val="Commentaire Car"/>
    <w:basedOn w:val="Policepardfaut"/>
    <w:link w:val="Commentaire"/>
    <w:uiPriority w:val="99"/>
    <w:semiHidden/>
    <w:rsid w:val="0008035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0351"/>
    <w:rPr>
      <w:b/>
      <w:bCs/>
    </w:rPr>
  </w:style>
  <w:style w:type="character" w:customStyle="1" w:styleId="ObjetducommentaireCar">
    <w:name w:val="Objet du commentaire Car"/>
    <w:basedOn w:val="CommentaireCar"/>
    <w:link w:val="Objetducommentaire"/>
    <w:uiPriority w:val="99"/>
    <w:semiHidden/>
    <w:rsid w:val="0008035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0803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0351"/>
    <w:rPr>
      <w:rFonts w:ascii="Segoe UI" w:eastAsia="Times New Roman" w:hAnsi="Segoe UI" w:cs="Segoe UI"/>
      <w:sz w:val="18"/>
      <w:szCs w:val="18"/>
      <w:lang w:eastAsia="fr-FR"/>
    </w:rPr>
  </w:style>
  <w:style w:type="character" w:customStyle="1" w:styleId="apple-converted-space">
    <w:name w:val="apple-converted-space"/>
    <w:basedOn w:val="Policepardfaut"/>
    <w:rsid w:val="00262DF1"/>
  </w:style>
  <w:style w:type="paragraph" w:styleId="NormalWeb">
    <w:name w:val="Normal (Web)"/>
    <w:basedOn w:val="Normal"/>
    <w:uiPriority w:val="99"/>
    <w:semiHidden/>
    <w:unhideWhenUsed/>
    <w:rsid w:val="00262DF1"/>
    <w:pPr>
      <w:spacing w:before="100" w:beforeAutospacing="1" w:after="100" w:afterAutospacing="1"/>
    </w:pPr>
  </w:style>
  <w:style w:type="character" w:customStyle="1" w:styleId="LienInternet">
    <w:name w:val="Lien Internet"/>
    <w:basedOn w:val="Policepardfaut"/>
    <w:uiPriority w:val="99"/>
    <w:unhideWhenUsed/>
    <w:rsid w:val="0062528B"/>
    <w:rPr>
      <w:color w:val="0563C1" w:themeColor="hyperlink"/>
      <w:u w:val="single"/>
    </w:rPr>
  </w:style>
  <w:style w:type="character" w:styleId="Numrodepage">
    <w:name w:val="page number"/>
    <w:basedOn w:val="Policepardfaut"/>
    <w:uiPriority w:val="99"/>
    <w:semiHidden/>
    <w:unhideWhenUsed/>
    <w:rsid w:val="00D74B0B"/>
  </w:style>
  <w:style w:type="paragraph" w:styleId="Rvision">
    <w:name w:val="Revision"/>
    <w:hidden/>
    <w:uiPriority w:val="99"/>
    <w:semiHidden/>
    <w:rsid w:val="00D74B0B"/>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85">
      <w:bodyDiv w:val="1"/>
      <w:marLeft w:val="0"/>
      <w:marRight w:val="0"/>
      <w:marTop w:val="0"/>
      <w:marBottom w:val="0"/>
      <w:divBdr>
        <w:top w:val="none" w:sz="0" w:space="0" w:color="auto"/>
        <w:left w:val="none" w:sz="0" w:space="0" w:color="auto"/>
        <w:bottom w:val="none" w:sz="0" w:space="0" w:color="auto"/>
        <w:right w:val="none" w:sz="0" w:space="0" w:color="auto"/>
      </w:divBdr>
      <w:divsChild>
        <w:div w:id="471365774">
          <w:marLeft w:val="0"/>
          <w:marRight w:val="0"/>
          <w:marTop w:val="0"/>
          <w:marBottom w:val="0"/>
          <w:divBdr>
            <w:top w:val="none" w:sz="0" w:space="0" w:color="auto"/>
            <w:left w:val="none" w:sz="0" w:space="0" w:color="auto"/>
            <w:bottom w:val="none" w:sz="0" w:space="0" w:color="auto"/>
            <w:right w:val="none" w:sz="0" w:space="0" w:color="auto"/>
          </w:divBdr>
        </w:div>
      </w:divsChild>
    </w:div>
    <w:div w:id="92945231">
      <w:bodyDiv w:val="1"/>
      <w:marLeft w:val="0"/>
      <w:marRight w:val="0"/>
      <w:marTop w:val="0"/>
      <w:marBottom w:val="0"/>
      <w:divBdr>
        <w:top w:val="none" w:sz="0" w:space="0" w:color="auto"/>
        <w:left w:val="none" w:sz="0" w:space="0" w:color="auto"/>
        <w:bottom w:val="none" w:sz="0" w:space="0" w:color="auto"/>
        <w:right w:val="none" w:sz="0" w:space="0" w:color="auto"/>
      </w:divBdr>
    </w:div>
    <w:div w:id="279000189">
      <w:bodyDiv w:val="1"/>
      <w:marLeft w:val="0"/>
      <w:marRight w:val="0"/>
      <w:marTop w:val="0"/>
      <w:marBottom w:val="0"/>
      <w:divBdr>
        <w:top w:val="none" w:sz="0" w:space="0" w:color="auto"/>
        <w:left w:val="none" w:sz="0" w:space="0" w:color="auto"/>
        <w:bottom w:val="none" w:sz="0" w:space="0" w:color="auto"/>
        <w:right w:val="none" w:sz="0" w:space="0" w:color="auto"/>
      </w:divBdr>
    </w:div>
    <w:div w:id="1329871910">
      <w:bodyDiv w:val="1"/>
      <w:marLeft w:val="0"/>
      <w:marRight w:val="0"/>
      <w:marTop w:val="0"/>
      <w:marBottom w:val="0"/>
      <w:divBdr>
        <w:top w:val="none" w:sz="0" w:space="0" w:color="auto"/>
        <w:left w:val="none" w:sz="0" w:space="0" w:color="auto"/>
        <w:bottom w:val="none" w:sz="0" w:space="0" w:color="auto"/>
        <w:right w:val="none" w:sz="0" w:space="0" w:color="auto"/>
      </w:divBdr>
    </w:div>
    <w:div w:id="1534536584">
      <w:bodyDiv w:val="1"/>
      <w:marLeft w:val="0"/>
      <w:marRight w:val="0"/>
      <w:marTop w:val="0"/>
      <w:marBottom w:val="0"/>
      <w:divBdr>
        <w:top w:val="none" w:sz="0" w:space="0" w:color="auto"/>
        <w:left w:val="none" w:sz="0" w:space="0" w:color="auto"/>
        <w:bottom w:val="none" w:sz="0" w:space="0" w:color="auto"/>
        <w:right w:val="none" w:sz="0" w:space="0" w:color="auto"/>
      </w:divBdr>
    </w:div>
    <w:div w:id="20649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2b.org/" TargetMode="External"/><Relationship Id="rId3" Type="http://schemas.openxmlformats.org/officeDocument/2006/relationships/settings" Target="settings.xml"/><Relationship Id="rId7" Type="http://schemas.openxmlformats.org/officeDocument/2006/relationships/hyperlink" Target="https://agriculture.gouv.fr/agriculture-et-foret/projet-agro-ecologiq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1826</Words>
  <Characters>10046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King</cp:lastModifiedBy>
  <cp:revision>4</cp:revision>
  <dcterms:created xsi:type="dcterms:W3CDTF">2021-05-02T09:01:00Z</dcterms:created>
  <dcterms:modified xsi:type="dcterms:W3CDTF">2021-05-02T12:38:00Z</dcterms:modified>
</cp:coreProperties>
</file>