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A60B" w14:textId="2F951928" w:rsidR="00C24E44" w:rsidRPr="004A4FC2" w:rsidRDefault="002E209D" w:rsidP="0000277E">
      <w:pPr>
        <w:rPr>
          <w:b/>
          <w:bCs/>
          <w:iCs/>
          <w:szCs w:val="22"/>
          <w:lang w:val="en-US"/>
        </w:rPr>
      </w:pPr>
      <w:r w:rsidRPr="0000277E">
        <w:rPr>
          <w:b/>
          <w:bCs/>
          <w:i/>
          <w:iCs/>
          <w:szCs w:val="22"/>
          <w:lang w:val="en-US"/>
        </w:rPr>
        <w:t xml:space="preserve">A </w:t>
      </w:r>
      <w:proofErr w:type="spellStart"/>
      <w:r w:rsidRPr="0000277E">
        <w:rPr>
          <w:b/>
          <w:bCs/>
          <w:i/>
          <w:iCs/>
          <w:szCs w:val="22"/>
          <w:lang w:val="en-US"/>
        </w:rPr>
        <w:t>propos</w:t>
      </w:r>
      <w:proofErr w:type="spellEnd"/>
      <w:r w:rsidRPr="0000277E">
        <w:rPr>
          <w:b/>
          <w:bCs/>
          <w:i/>
          <w:iCs/>
          <w:szCs w:val="22"/>
          <w:lang w:val="en-US"/>
        </w:rPr>
        <w:t xml:space="preserve"> du </w:t>
      </w:r>
      <w:proofErr w:type="spellStart"/>
      <w:r w:rsidRPr="0000277E">
        <w:rPr>
          <w:b/>
          <w:bCs/>
          <w:i/>
          <w:iCs/>
          <w:szCs w:val="22"/>
          <w:lang w:val="en-US"/>
        </w:rPr>
        <w:t>débat</w:t>
      </w:r>
      <w:proofErr w:type="spellEnd"/>
      <w:r w:rsidR="004A4FC2">
        <w:rPr>
          <w:b/>
          <w:bCs/>
          <w:i/>
          <w:iCs/>
          <w:szCs w:val="22"/>
          <w:lang w:val="en-US"/>
        </w:rPr>
        <w:t xml:space="preserve"> </w:t>
      </w:r>
      <w:r w:rsidRPr="0000277E">
        <w:rPr>
          <w:b/>
          <w:bCs/>
          <w:i/>
          <w:iCs/>
          <w:szCs w:val="22"/>
          <w:lang w:val="en-US"/>
        </w:rPr>
        <w:t xml:space="preserve"> </w:t>
      </w:r>
      <w:r w:rsidRPr="004A4FC2">
        <w:rPr>
          <w:b/>
          <w:bCs/>
          <w:iCs/>
          <w:szCs w:val="22"/>
          <w:lang w:val="en-US"/>
        </w:rPr>
        <w:t>Land Sharing/Land Sparing</w:t>
      </w:r>
    </w:p>
    <w:p w14:paraId="253CA515" w14:textId="77777777" w:rsidR="00C61543" w:rsidRDefault="00C24E44" w:rsidP="0000277E">
      <w:pPr>
        <w:rPr>
          <w:b/>
          <w:bCs/>
          <w:i/>
          <w:iCs/>
          <w:szCs w:val="22"/>
        </w:rPr>
      </w:pPr>
      <w:r w:rsidRPr="0000277E">
        <w:rPr>
          <w:b/>
          <w:bCs/>
          <w:i/>
          <w:iCs/>
          <w:szCs w:val="22"/>
        </w:rPr>
        <w:t>Points d’attentions proposés par la section 7 – Environnement et territoire</w:t>
      </w:r>
      <w:r w:rsidR="004A4FC2">
        <w:rPr>
          <w:b/>
          <w:bCs/>
          <w:i/>
          <w:iCs/>
          <w:szCs w:val="22"/>
        </w:rPr>
        <w:t>s</w:t>
      </w:r>
    </w:p>
    <w:p w14:paraId="0E0C3AED" w14:textId="484D9B3D" w:rsidR="00C24E44" w:rsidRPr="00C61543" w:rsidRDefault="00C61543" w:rsidP="0000277E">
      <w:pPr>
        <w:rPr>
          <w:b/>
          <w:bCs/>
          <w:i/>
          <w:iCs/>
          <w:sz w:val="21"/>
          <w:szCs w:val="21"/>
        </w:rPr>
      </w:pPr>
      <w:r w:rsidRPr="00C61543">
        <w:rPr>
          <w:b/>
          <w:bCs/>
          <w:i/>
          <w:iCs/>
          <w:sz w:val="21"/>
          <w:szCs w:val="21"/>
        </w:rPr>
        <w:t>20 septembre 2021</w:t>
      </w:r>
      <w:r w:rsidR="004A4FC2" w:rsidRPr="00C61543">
        <w:rPr>
          <w:b/>
          <w:bCs/>
          <w:i/>
          <w:iCs/>
          <w:sz w:val="21"/>
          <w:szCs w:val="21"/>
        </w:rPr>
        <w:t xml:space="preserve"> </w:t>
      </w:r>
    </w:p>
    <w:p w14:paraId="780B8045" w14:textId="77777777" w:rsidR="00C24E44" w:rsidRPr="0000277E" w:rsidRDefault="00C24E44" w:rsidP="0000277E">
      <w:pPr>
        <w:rPr>
          <w:szCs w:val="22"/>
        </w:rPr>
      </w:pPr>
    </w:p>
    <w:p w14:paraId="1F84D611" w14:textId="4316782F" w:rsidR="00C20213" w:rsidRPr="0000277E" w:rsidRDefault="00361E12" w:rsidP="0000277E">
      <w:pPr>
        <w:rPr>
          <w:szCs w:val="22"/>
        </w:rPr>
      </w:pPr>
      <w:r w:rsidRPr="0000277E">
        <w:rPr>
          <w:szCs w:val="22"/>
        </w:rPr>
        <w:t>La FAO estime que pour nourrir 10 milliards d'homme</w:t>
      </w:r>
      <w:r w:rsidR="003A1D62" w:rsidRPr="0000277E">
        <w:rPr>
          <w:szCs w:val="22"/>
        </w:rPr>
        <w:t>s</w:t>
      </w:r>
      <w:r w:rsidRPr="0000277E">
        <w:rPr>
          <w:szCs w:val="22"/>
        </w:rPr>
        <w:t xml:space="preserve"> à l'horizon 2050, la production alimentaire doit augmenter de 60 % (FAO, 2011).</w:t>
      </w:r>
      <w:r w:rsidR="00C24E44" w:rsidRPr="0000277E">
        <w:rPr>
          <w:szCs w:val="22"/>
        </w:rPr>
        <w:t xml:space="preserve"> </w:t>
      </w:r>
      <w:r w:rsidR="00CC6C85" w:rsidRPr="0000277E">
        <w:rPr>
          <w:szCs w:val="22"/>
        </w:rPr>
        <w:t xml:space="preserve">Les terres utilisées pour l'agriculture ont augmenté de plus de 100 millions d'hectares entre 1980 et 2000 dans les </w:t>
      </w:r>
      <w:r w:rsidR="00C20213" w:rsidRPr="0000277E">
        <w:rPr>
          <w:szCs w:val="22"/>
        </w:rPr>
        <w:t>zones tropicales. 70 % des écosystèmes terrestres (hors glace) sont considérés comme dégradés</w:t>
      </w:r>
      <w:r w:rsidR="00C24E44" w:rsidRPr="0000277E">
        <w:rPr>
          <w:szCs w:val="22"/>
        </w:rPr>
        <w:t>. L</w:t>
      </w:r>
      <w:r w:rsidR="00C20213" w:rsidRPr="0000277E">
        <w:rPr>
          <w:szCs w:val="22"/>
        </w:rPr>
        <w:t xml:space="preserve">e système alimentaire </w:t>
      </w:r>
      <w:r w:rsidR="00C24E44" w:rsidRPr="0000277E">
        <w:rPr>
          <w:szCs w:val="22"/>
        </w:rPr>
        <w:t>est</w:t>
      </w:r>
      <w:r w:rsidR="00C20213" w:rsidRPr="0000277E">
        <w:rPr>
          <w:szCs w:val="22"/>
        </w:rPr>
        <w:t xml:space="preserve"> reconnu comme le premier facteur d'atteinte à la biodiversité</w:t>
      </w:r>
      <w:r w:rsidR="00C24E44" w:rsidRPr="0000277E">
        <w:rPr>
          <w:szCs w:val="22"/>
        </w:rPr>
        <w:t xml:space="preserve"> </w:t>
      </w:r>
      <w:r w:rsidR="000445F1">
        <w:rPr>
          <w:szCs w:val="22"/>
        </w:rPr>
        <w:fldChar w:fldCharType="begin" w:fldLock="1"/>
      </w:r>
      <w:r w:rsidR="005A6A0D">
        <w:rPr>
          <w:szCs w:val="22"/>
        </w:rPr>
        <w:instrText>ADDIN CSL_CITATION {"citationItems":[{"id":"ITEM-1","itemData":{"abstract":"This landmark report from the Intergovernmental Science-Policy Platform on Biodiversity and Ecosystem Services (IPBES) warns that nature is declining globally at rates unprecedented in human history — and the rate of species extinctions is accelerating.\n\nThe IPBES Global Assessment Report on Biodiversity and Ecosystem Services is the most comprehensive ever completed. It is the first intergovernmental Report of its kind and builds on the landmark Millennium Ecosystem Assessment of 2005, introducing innovative ways of evaluating evidence.\n\nCompiled by 145 expert authors from 50 countries over the past three years, with inputs from another 310 contributing authors, the Report assesses changes over the past five decades, providing a comprehensive picture of the relationship between economic development pathways and their impacts on nature. It also offers a range of possible scenarios for the coming decades.\n\nBased on the systematic review of about 15,000 scientific and government sources, the Report also draws (for the first time ever at this scale) on indigenous and local knowledge, particularly addressing issues relevant to Indigenous Peoples and Local Communities.","author":[{"dropping-particle":"","family":"Díaz","given":"S","non-dropping-particle":"","parse-names":false,"suffix":""},{"dropping-particle":"","family":"Settele","given":"J","non-dropping-particle":"","parse-names":false,"suffix":""},{"dropping-particle":"","family":"Brondízio","given":"E","non-dropping-particle":"","parse-names":false,"suffix":""},{"dropping-particle":"","family":"Ngo","given":"H","non-dropping-particle":"","parse-names":false,"suffix":""},{"dropping-particle":"","family":"Guèze","given":"M","non-dropping-particle":"","parse-names":false,"suffix":""},{"dropping-particle":"","family":"Agard","given":"J","non-dropping-particle":"","parse-names":false,"suffix":""},{"dropping-particle":"","family":"Arneth","given":"A","non-dropping-particle":"","parse-names":false,"suffix":""},{"dropping-particle":"","family":"Balvanera","given":"P","non-dropping-particle":"","parse-names":false,"suffix":""},{"dropping-particle":"","family":"Brauman","given":"K","non-dropping-particle":"","parse-names":false,"suffix":""},{"dropping-particle":"","family":"Butchart","given":"S","non-dropping-particle":"","parse-names":false,"suffix":""},{"dropping-particle":"","family":"Chan","given":"K","non-dropping-particle":"","parse-names":false,"suffix":""},{"dropping-particle":"","family":"Garibaldi","given":"L","non-dropping-particle":"","parse-names":false,"suffix":""},{"dropping-particle":"","family":"Ichii","given":"K","non-dropping-particle":"","parse-names":false,"suffix":""},{"dropping-particle":"","family":"Liu","given":"J","non-dropping-particle":"","parse-names":false,"suffix":""},{"dropping-particle":"","family":"Subrmanian","given":"S","non-dropping-particle":"","parse-names":false,"suffix":""},{"dropping-particle":"","family":"Midgley","given":"G","non-dropping-particle":"","parse-names":false,"suffix":""},{"dropping-particle":"","family":"Miloslavich","given":"P","non-dropping-particle":"","parse-names":false,"suffix":""},{"dropping-particle":"","family":"Molnár","given":"Z","non-dropping-particle":"","parse-names":false,"suffix":""},{"dropping-particle":"","family":"Obura","given":"D","non-dropping-particle":"","parse-names":false,"suffix":""},{"dropping-particle":"","family":"Pfaff","given":"A","non-dropping-particle":"","parse-names":false,"suffix":""},{"dropping-particle":"","family":"Polasky","given":"S","non-dropping-particle":"","parse-names":false,"suffix":""},{"dropping-particle":"","family":"Purvis","given":"A","non-dropping-particle":"","parse-names":false,"suffix":""},{"dropping-particle":"","family":"Razzaque","given":"Jona","non-dropping-particle":"","parse-names":false,"suffix":""},{"dropping-particle":"","family":"Reyers","given":"B","non-dropping-particle":"","parse-names":false,"suffix":""},{"dropping-particle":"","family":"Chowdhury","given":"R","non-dropping-particle":"","parse-names":false,"suffix":""},{"dropping-particle":"","family":"Shin","given":"Y","non-dropping-particle":"","parse-names":false,"suffix":""},{"dropping-particle":"","family":"Visseren-Hamakers","given":"I","non-dropping-particle":"","parse-names":false,"suffix":""},{"dropping-particle":"","family":"Wilis","given":"K","non-dropping-particle":"","parse-names":false,"suffix":""},{"dropping-particle":"","family":"Zayas","given":"C","non-dropping-particle":"","parse-names":false,"suffix":""}],"id":"ITEM-1","issued":{"date-parts":[["2020","7","30"]]},"title":"Summary for policymakers of the global assessment report on biodiversity and ecosystem services of the Intergovernmental Science-Policy Platform on Biodiversity and Ecosystem Services","type":"article"},"uris":["http://www.mendeley.com/documents/?uuid=57bad345-93e5-3bd6-92da-190149624435"]}],"mendeley":{"formattedCitation":"(Díaz et al., 2020)","plainTextFormattedCitation":"(Díaz et al., 2020)","previouslyFormattedCitation":"(Díaz et al., 2020)"},"properties":{"noteIndex":0},"schema":"https://github.com/citation-style-language/schema/raw/master/csl-citation.json"}</w:instrText>
      </w:r>
      <w:r w:rsidR="000445F1">
        <w:rPr>
          <w:szCs w:val="22"/>
        </w:rPr>
        <w:fldChar w:fldCharType="separate"/>
      </w:r>
      <w:r w:rsidR="005A6A0D" w:rsidRPr="005A6A0D">
        <w:rPr>
          <w:noProof/>
          <w:szCs w:val="22"/>
        </w:rPr>
        <w:t>(Díaz et al., 2020)</w:t>
      </w:r>
      <w:r w:rsidR="000445F1">
        <w:rPr>
          <w:szCs w:val="22"/>
        </w:rPr>
        <w:fldChar w:fldCharType="end"/>
      </w:r>
      <w:r w:rsidR="00C20213" w:rsidRPr="0000277E">
        <w:rPr>
          <w:szCs w:val="22"/>
        </w:rPr>
        <w:t xml:space="preserve">. </w:t>
      </w:r>
      <w:r w:rsidR="00B15206" w:rsidRPr="0000277E">
        <w:rPr>
          <w:szCs w:val="22"/>
        </w:rPr>
        <w:t>Cependant, l'agriculture est également notre meilleure solution en matière de biodiversité pour permettre la transition vers des activités régénératrices</w:t>
      </w:r>
      <w:r w:rsidR="000445F1">
        <w:rPr>
          <w:szCs w:val="22"/>
        </w:rPr>
        <w:t xml:space="preserve"> </w:t>
      </w:r>
      <w:r w:rsidR="000445F1">
        <w:rPr>
          <w:szCs w:val="22"/>
        </w:rPr>
        <w:fldChar w:fldCharType="begin" w:fldLock="1"/>
      </w:r>
      <w:r w:rsidR="005A6A0D">
        <w:rPr>
          <w:szCs w:val="22"/>
        </w:rPr>
        <w:instrText>ADDIN CSL_CITATION {"citationItems":[{"id":"ITEM-1","itemData":{"abstract":"The COVID-19 pandemic has raised significant challenges for policy-makers, business and the public and there is little alignment on the pathways to recovery. Yet one thing is sure: nature plays a key role in this pandemic’s emergence and recovery. Yet there is a way to measure how we build forward better for both human health and nature. There is a dashboard which should be used based on the two core planetary boundaries of climate change and biodiversity/nature loss to guide a truly sustainable transformation. Research shows that 61% of emerging diseases over the past 15 years originated from regions where remaining natural habitat has shrunk to 20% or less. A priority is transforming the global food system, which is a major driver of nature loss – species and ecosystems on land and in the oceans – and a major threat to the stability of the climate and Earth systems. Production and consumption in the global food system directly affect human health and well-being, for example through declines in food production and freshwater availability or land degradation. They also present key levers in protecting the biosphere and climate and in building resilience against future shocks, including new pandemics. This calls for actions at policy, consumer and business levels that combine food system transformation with nature restoration and regeneration and climate action. It is necessary in order to safeguard and strengthen the planet’s resilience, defined as the capacity of the Earth system to buffer future shocks and stress and thus avoid or reduce the impacts of future infectious disease outbreaks like COVID-19.","author":[{"dropping-particle":"","family":"Vidal","given":"Alain","non-dropping-particle":"","parse-names":false,"suffix":""},{"dropping-particle":"","family":"Lade","given":"Steven J","non-dropping-particle":"","parse-names":false,"suffix":""},{"dropping-particle":"","family":"Hoff","given":"Holger","non-dropping-particle":"","parse-names":false,"suffix":""},{"dropping-particle":"","family":"Rockström","given":"Johan","non-dropping-particle":"","parse-names":false,"suffix":""}],"id":"ITEM-1","issued":{"date-parts":[["2020"]]},"number-of-pages":"22","publisher-place":"Geneva","title":"COVID-19: a dashboard to rebuild with nature - World Business Council for Sustainable Development (WBCSD)","type":"report"},"uris":["http://www.mendeley.com/documents/?uuid=23e318b3-e6af-379b-9627-c4235d99c26f"]}],"mendeley":{"formattedCitation":"(Vidal et al., 2020)","plainTextFormattedCitation":"(Vidal et al., 2020)","previouslyFormattedCitation":"(Vidal et al., 2020)"},"properties":{"noteIndex":0},"schema":"https://github.com/citation-style-language/schema/raw/master/csl-citation.json"}</w:instrText>
      </w:r>
      <w:r w:rsidR="000445F1">
        <w:rPr>
          <w:szCs w:val="22"/>
        </w:rPr>
        <w:fldChar w:fldCharType="separate"/>
      </w:r>
      <w:r w:rsidR="005A6A0D" w:rsidRPr="005A6A0D">
        <w:rPr>
          <w:noProof/>
          <w:szCs w:val="22"/>
        </w:rPr>
        <w:t>(Vidal et al., 2020)</w:t>
      </w:r>
      <w:r w:rsidR="000445F1">
        <w:rPr>
          <w:szCs w:val="22"/>
        </w:rPr>
        <w:fldChar w:fldCharType="end"/>
      </w:r>
      <w:r w:rsidR="00B15206" w:rsidRPr="0000277E">
        <w:rPr>
          <w:szCs w:val="22"/>
        </w:rPr>
        <w:t>.</w:t>
      </w:r>
    </w:p>
    <w:p w14:paraId="6E6122E6" w14:textId="77777777" w:rsidR="00C20213" w:rsidRPr="0000277E" w:rsidRDefault="00C20213" w:rsidP="0000277E">
      <w:pPr>
        <w:rPr>
          <w:szCs w:val="22"/>
        </w:rPr>
      </w:pPr>
    </w:p>
    <w:p w14:paraId="33129509" w14:textId="500D76D8" w:rsidR="00361E12" w:rsidRPr="0000277E" w:rsidRDefault="00C20213" w:rsidP="0000277E">
      <w:pPr>
        <w:rPr>
          <w:szCs w:val="22"/>
        </w:rPr>
      </w:pPr>
      <w:r w:rsidRPr="0000277E">
        <w:rPr>
          <w:szCs w:val="22"/>
        </w:rPr>
        <w:t>Ces données sont</w:t>
      </w:r>
      <w:r w:rsidR="00361E12" w:rsidRPr="0000277E">
        <w:rPr>
          <w:szCs w:val="22"/>
        </w:rPr>
        <w:t xml:space="preserve"> à l'origine de nombreuses interrogations et </w:t>
      </w:r>
      <w:r w:rsidRPr="0000277E">
        <w:rPr>
          <w:szCs w:val="22"/>
        </w:rPr>
        <w:t xml:space="preserve">alimentent </w:t>
      </w:r>
      <w:r w:rsidR="00361E12" w:rsidRPr="0000277E">
        <w:rPr>
          <w:szCs w:val="22"/>
        </w:rPr>
        <w:t xml:space="preserve">la controverse sociotechnique </w:t>
      </w:r>
      <w:r w:rsidR="00361E12" w:rsidRPr="004A4FC2">
        <w:rPr>
          <w:i/>
          <w:iCs/>
          <w:szCs w:val="22"/>
        </w:rPr>
        <w:t xml:space="preserve">land </w:t>
      </w:r>
      <w:proofErr w:type="spellStart"/>
      <w:r w:rsidR="00361E12" w:rsidRPr="004A4FC2">
        <w:rPr>
          <w:i/>
          <w:iCs/>
          <w:szCs w:val="22"/>
        </w:rPr>
        <w:t>sparing</w:t>
      </w:r>
      <w:proofErr w:type="spellEnd"/>
      <w:r w:rsidR="002E209D" w:rsidRPr="0000277E">
        <w:rPr>
          <w:szCs w:val="22"/>
        </w:rPr>
        <w:t xml:space="preserve"> </w:t>
      </w:r>
      <w:r w:rsidR="006E1797" w:rsidRPr="0000277E">
        <w:rPr>
          <w:szCs w:val="22"/>
        </w:rPr>
        <w:t>(économie de terres)</w:t>
      </w:r>
      <w:r w:rsidR="00361E12" w:rsidRPr="0000277E">
        <w:rPr>
          <w:szCs w:val="22"/>
        </w:rPr>
        <w:t>/</w:t>
      </w:r>
      <w:r w:rsidR="00361E12" w:rsidRPr="004A4FC2">
        <w:rPr>
          <w:i/>
          <w:iCs/>
          <w:szCs w:val="22"/>
        </w:rPr>
        <w:t>land sharing</w:t>
      </w:r>
      <w:r w:rsidR="006E1797" w:rsidRPr="0000277E">
        <w:rPr>
          <w:szCs w:val="22"/>
        </w:rPr>
        <w:t xml:space="preserve"> (partage des terres</w:t>
      </w:r>
      <w:r w:rsidR="000445F1">
        <w:rPr>
          <w:szCs w:val="22"/>
        </w:rPr>
        <w:t>)</w:t>
      </w:r>
      <w:r w:rsidR="004A4FC2">
        <w:rPr>
          <w:szCs w:val="22"/>
        </w:rPr>
        <w:t>.</w:t>
      </w:r>
      <w:r w:rsidR="00361E12" w:rsidRPr="0000277E">
        <w:rPr>
          <w:szCs w:val="22"/>
        </w:rPr>
        <w:t xml:space="preserve"> </w:t>
      </w:r>
    </w:p>
    <w:p w14:paraId="6AEC3ADB" w14:textId="77777777" w:rsidR="00361E12" w:rsidRPr="0000277E" w:rsidRDefault="00361E12" w:rsidP="0000277E">
      <w:pPr>
        <w:rPr>
          <w:szCs w:val="22"/>
        </w:rPr>
      </w:pPr>
    </w:p>
    <w:p w14:paraId="447817DF" w14:textId="05F2E176" w:rsidR="003F23AF" w:rsidRPr="0000277E" w:rsidRDefault="00361E12" w:rsidP="0000277E">
      <w:pPr>
        <w:rPr>
          <w:szCs w:val="22"/>
        </w:rPr>
      </w:pPr>
      <w:r w:rsidRPr="0000277E">
        <w:rPr>
          <w:szCs w:val="22"/>
        </w:rPr>
        <w:t>La question est-elle bien posée ?</w:t>
      </w:r>
      <w:r w:rsidR="00842729" w:rsidRPr="0000277E">
        <w:rPr>
          <w:szCs w:val="22"/>
        </w:rPr>
        <w:t xml:space="preserve"> La section 7, Environnement et Territoire</w:t>
      </w:r>
      <w:r w:rsidR="004A4FC2">
        <w:rPr>
          <w:szCs w:val="22"/>
        </w:rPr>
        <w:t>s</w:t>
      </w:r>
      <w:r w:rsidR="00842729" w:rsidRPr="0000277E">
        <w:rPr>
          <w:szCs w:val="22"/>
        </w:rPr>
        <w:t>, a abordé ce thème lors d'une dernière réunion et propose quelques "points d'attention" en vue d'un éventuel avis de l'AAF.</w:t>
      </w:r>
      <w:r w:rsidR="00602A69" w:rsidRPr="0000277E">
        <w:rPr>
          <w:szCs w:val="22"/>
        </w:rPr>
        <w:t xml:space="preserve"> Ces points peuvent </w:t>
      </w:r>
      <w:r w:rsidR="001C1B71" w:rsidRPr="0000277E">
        <w:rPr>
          <w:szCs w:val="22"/>
        </w:rPr>
        <w:t xml:space="preserve">alimenter le </w:t>
      </w:r>
      <w:r w:rsidR="00602A69" w:rsidRPr="0000277E">
        <w:rPr>
          <w:szCs w:val="22"/>
        </w:rPr>
        <w:t>débat du 23 septembre qui met en regard</w:t>
      </w:r>
      <w:r w:rsidR="003F23AF" w:rsidRPr="0000277E">
        <w:rPr>
          <w:szCs w:val="22"/>
        </w:rPr>
        <w:t xml:space="preserve"> </w:t>
      </w:r>
      <w:r w:rsidR="001C1B71" w:rsidRPr="0000277E">
        <w:rPr>
          <w:szCs w:val="22"/>
        </w:rPr>
        <w:t xml:space="preserve">agriculture, </w:t>
      </w:r>
      <w:r w:rsidR="003F23AF" w:rsidRPr="0000277E">
        <w:rPr>
          <w:szCs w:val="22"/>
        </w:rPr>
        <w:t>conventionnelle/agroécologie</w:t>
      </w:r>
      <w:r w:rsidR="001C1B71" w:rsidRPr="0000277E">
        <w:rPr>
          <w:szCs w:val="22"/>
        </w:rPr>
        <w:t>, bien qu’il s’agisse d’un débat différent.</w:t>
      </w:r>
    </w:p>
    <w:p w14:paraId="65ADDDC7" w14:textId="77777777" w:rsidR="00491BCF" w:rsidRPr="0000277E" w:rsidRDefault="00491BCF" w:rsidP="0000277E">
      <w:pPr>
        <w:rPr>
          <w:szCs w:val="22"/>
        </w:rPr>
      </w:pPr>
    </w:p>
    <w:p w14:paraId="63A09FA8" w14:textId="77777777" w:rsidR="00842729" w:rsidRPr="0000277E" w:rsidRDefault="00842729" w:rsidP="0000277E">
      <w:pPr>
        <w:rPr>
          <w:szCs w:val="22"/>
        </w:rPr>
      </w:pPr>
    </w:p>
    <w:p w14:paraId="2419E24D" w14:textId="1EC2964F" w:rsidR="00530492" w:rsidRPr="0000277E" w:rsidRDefault="00530492" w:rsidP="0000277E">
      <w:pPr>
        <w:rPr>
          <w:b/>
          <w:szCs w:val="22"/>
        </w:rPr>
      </w:pPr>
      <w:r w:rsidRPr="0000277E">
        <w:rPr>
          <w:b/>
          <w:szCs w:val="22"/>
        </w:rPr>
        <w:t>• </w:t>
      </w:r>
      <w:r w:rsidR="00C20213" w:rsidRPr="0000277E">
        <w:rPr>
          <w:b/>
          <w:szCs w:val="22"/>
        </w:rPr>
        <w:t xml:space="preserve">Pas assez ou trop de nourriture ? Offre et demande, </w:t>
      </w:r>
      <w:r w:rsidRPr="0000277E">
        <w:rPr>
          <w:b/>
          <w:szCs w:val="22"/>
        </w:rPr>
        <w:t xml:space="preserve">production agricole et </w:t>
      </w:r>
      <w:r w:rsidR="008641E0" w:rsidRPr="0000277E">
        <w:rPr>
          <w:b/>
          <w:szCs w:val="22"/>
        </w:rPr>
        <w:t xml:space="preserve">sécurité </w:t>
      </w:r>
      <w:r w:rsidRPr="0000277E">
        <w:rPr>
          <w:b/>
          <w:szCs w:val="22"/>
        </w:rPr>
        <w:t>alimentaire</w:t>
      </w:r>
    </w:p>
    <w:p w14:paraId="100B5787" w14:textId="77777777" w:rsidR="008641E0" w:rsidRPr="0000277E" w:rsidRDefault="008641E0" w:rsidP="0000277E">
      <w:pPr>
        <w:rPr>
          <w:szCs w:val="22"/>
        </w:rPr>
      </w:pPr>
      <w:r w:rsidRPr="0000277E">
        <w:rPr>
          <w:szCs w:val="22"/>
        </w:rPr>
        <w:t xml:space="preserve">Le choix du modèle de production induit le modèle de consommation. </w:t>
      </w:r>
    </w:p>
    <w:p w14:paraId="1E298852" w14:textId="3E2640EB" w:rsidR="00530492" w:rsidRPr="0000277E" w:rsidRDefault="001920AA" w:rsidP="0000277E">
      <w:pPr>
        <w:rPr>
          <w:rFonts w:cstheme="minorHAnsi"/>
          <w:szCs w:val="22"/>
        </w:rPr>
      </w:pPr>
      <w:r w:rsidRPr="0000277E">
        <w:rPr>
          <w:szCs w:val="22"/>
        </w:rPr>
        <w:t xml:space="preserve">La fourniture </w:t>
      </w:r>
      <w:r w:rsidR="00144DBB" w:rsidRPr="0000277E">
        <w:rPr>
          <w:szCs w:val="22"/>
        </w:rPr>
        <w:t xml:space="preserve">en masse </w:t>
      </w:r>
      <w:r w:rsidRPr="0000277E">
        <w:rPr>
          <w:szCs w:val="22"/>
        </w:rPr>
        <w:t xml:space="preserve">de </w:t>
      </w:r>
      <w:r w:rsidR="00144DBB" w:rsidRPr="0000277E">
        <w:rPr>
          <w:szCs w:val="22"/>
        </w:rPr>
        <w:t>nourriture</w:t>
      </w:r>
      <w:r w:rsidRPr="0000277E">
        <w:rPr>
          <w:szCs w:val="22"/>
        </w:rPr>
        <w:t xml:space="preserve"> bon marché, produit</w:t>
      </w:r>
      <w:r w:rsidR="00144DBB" w:rsidRPr="0000277E">
        <w:rPr>
          <w:szCs w:val="22"/>
        </w:rPr>
        <w:t>e</w:t>
      </w:r>
      <w:r w:rsidRPr="0000277E">
        <w:rPr>
          <w:szCs w:val="22"/>
        </w:rPr>
        <w:t xml:space="preserve"> avec des intrants de synthèse, </w:t>
      </w:r>
      <w:r w:rsidR="00C20213" w:rsidRPr="0000277E">
        <w:rPr>
          <w:szCs w:val="22"/>
        </w:rPr>
        <w:t xml:space="preserve">est organisée en </w:t>
      </w:r>
      <w:r w:rsidRPr="0000277E">
        <w:rPr>
          <w:szCs w:val="22"/>
        </w:rPr>
        <w:t xml:space="preserve">filières </w:t>
      </w:r>
      <w:r w:rsidR="00144DBB" w:rsidRPr="0000277E">
        <w:rPr>
          <w:szCs w:val="22"/>
        </w:rPr>
        <w:t xml:space="preserve">industrielles et de distribution, conduisant à </w:t>
      </w:r>
      <w:r w:rsidR="005362C8" w:rsidRPr="0000277E">
        <w:rPr>
          <w:szCs w:val="22"/>
        </w:rPr>
        <w:t xml:space="preserve">une uniformisation des produits alimentaires et à </w:t>
      </w:r>
      <w:r w:rsidR="00144DBB" w:rsidRPr="0000277E">
        <w:rPr>
          <w:szCs w:val="22"/>
        </w:rPr>
        <w:t xml:space="preserve">des comportements </w:t>
      </w:r>
      <w:r w:rsidRPr="0000277E">
        <w:rPr>
          <w:szCs w:val="22"/>
        </w:rPr>
        <w:t xml:space="preserve">de </w:t>
      </w:r>
      <w:r w:rsidR="00C20213" w:rsidRPr="0000277E">
        <w:rPr>
          <w:szCs w:val="22"/>
        </w:rPr>
        <w:t>gaspillage</w:t>
      </w:r>
      <w:r w:rsidR="005362C8" w:rsidRPr="0000277E">
        <w:rPr>
          <w:szCs w:val="22"/>
        </w:rPr>
        <w:t xml:space="preserve"> (20 % de la production). </w:t>
      </w:r>
      <w:r w:rsidR="00530492" w:rsidRPr="0000277E">
        <w:rPr>
          <w:rFonts w:cstheme="minorHAnsi"/>
          <w:szCs w:val="22"/>
        </w:rPr>
        <w:t xml:space="preserve">En termes de santé, </w:t>
      </w:r>
      <w:r w:rsidR="005362C8" w:rsidRPr="0000277E">
        <w:rPr>
          <w:szCs w:val="22"/>
        </w:rPr>
        <w:t xml:space="preserve">la malbouffe est cause d'obésité, de diabète et susceptibles de causer divers cancers. En particulier, </w:t>
      </w:r>
      <w:r w:rsidR="00530492" w:rsidRPr="0000277E">
        <w:rPr>
          <w:rFonts w:cstheme="minorHAnsi"/>
          <w:szCs w:val="22"/>
        </w:rPr>
        <w:t>la consommation de protéines ani</w:t>
      </w:r>
      <w:r w:rsidR="008641E0" w:rsidRPr="0000277E">
        <w:rPr>
          <w:rFonts w:cstheme="minorHAnsi"/>
          <w:szCs w:val="22"/>
        </w:rPr>
        <w:t>males dans les pays riches est l</w:t>
      </w:r>
      <w:r w:rsidR="00530492" w:rsidRPr="0000277E">
        <w:rPr>
          <w:rFonts w:cstheme="minorHAnsi"/>
          <w:szCs w:val="22"/>
        </w:rPr>
        <w:t>e double de ce que préconisent les médecins (60g/jour contre 29g/jour)</w:t>
      </w:r>
      <w:r w:rsidR="00B10C5A">
        <w:rPr>
          <w:rFonts w:cstheme="minorHAnsi"/>
          <w:szCs w:val="22"/>
        </w:rPr>
        <w:t xml:space="preserve"> </w:t>
      </w:r>
      <w:r w:rsidR="00B10C5A">
        <w:rPr>
          <w:rFonts w:cstheme="minorHAnsi"/>
          <w:szCs w:val="22"/>
        </w:rPr>
        <w:fldChar w:fldCharType="begin" w:fldLock="1"/>
      </w:r>
      <w:r w:rsidR="005A6A0D">
        <w:rPr>
          <w:rFonts w:cstheme="minorHAnsi"/>
          <w:szCs w:val="22"/>
        </w:rPr>
        <w:instrText>ADDIN CSL_CITATION {"citationItems":[{"id":"ITEM-1","itemData":{"abstract":"En raison de préoccupations en matière de santé, de bien-être animal ou plus largement pour la durabilité de notre planète, nombre de nos contemporains s’interrogent sur notre mode de vie occidental, et en particulier sur notre consommation de viande. L’élevage a des impacts mais rend aussi des services pour l’environnement et les territoires. Le bien-être animal est par ailleurs un enjeu majeur. Ce dossier de l’Inra publié sur le site de l’Institut et enrichi d’infographies vient éclairer les bénéfices et les limites de la consommation de viande.","author":[{"dropping-particle":"","family":"Hocquette","given":"Jean-François","non-dropping-particle":"","parse-names":false,"suffix":""},{"dropping-particle":"","family":"Mollier","given":"Pascale","non-dropping-particle":"","parse-names":false,"suffix":""},{"dropping-particle":"","family":"Darmon","given":"Nicole","non-dropping-particle":"","parse-names":false,"suffix":""},{"dropping-particle":"","family":"Peyraud","given":"Jean-Louis","non-dropping-particle":"","parse-names":false,"suffix":""}],"container-title":"La revue française de la recherche en viandes et produits carnés","id":"ITEM-1","issue":"2-4","issued":{"date-parts":[["2019"]]},"page":"1-7","title":"Faut-il réduire notre consommation de viande ?","type":"article-journal","volume":"35"},"uris":["http://www.mendeley.com/documents/?uuid=6f979ddb-fded-333a-a30a-2fa07b3662cf"]}],"mendeley":{"formattedCitation":"(Hocquette et al., 2019)","plainTextFormattedCitation":"(Hocquette et al., 2019)","previouslyFormattedCitation":"(Hocquette et al., 2019)"},"properties":{"noteIndex":0},"schema":"https://github.com/citation-style-language/schema/raw/master/csl-citation.json"}</w:instrText>
      </w:r>
      <w:r w:rsidR="00B10C5A">
        <w:rPr>
          <w:rFonts w:cstheme="minorHAnsi"/>
          <w:szCs w:val="22"/>
        </w:rPr>
        <w:fldChar w:fldCharType="separate"/>
      </w:r>
      <w:r w:rsidR="005A6A0D" w:rsidRPr="005A6A0D">
        <w:rPr>
          <w:rFonts w:cstheme="minorHAnsi"/>
          <w:noProof/>
          <w:szCs w:val="22"/>
        </w:rPr>
        <w:t>(Hocquette et al., 2019)</w:t>
      </w:r>
      <w:r w:rsidR="00B10C5A">
        <w:rPr>
          <w:rFonts w:cstheme="minorHAnsi"/>
          <w:szCs w:val="22"/>
        </w:rPr>
        <w:fldChar w:fldCharType="end"/>
      </w:r>
      <w:r w:rsidR="00530492" w:rsidRPr="0000277E">
        <w:rPr>
          <w:rFonts w:cstheme="minorHAnsi"/>
          <w:szCs w:val="22"/>
        </w:rPr>
        <w:t xml:space="preserve">. </w:t>
      </w:r>
    </w:p>
    <w:p w14:paraId="3A5F870F" w14:textId="659F3873" w:rsidR="0084595C" w:rsidRPr="0000277E" w:rsidRDefault="0084595C" w:rsidP="0000277E">
      <w:pPr>
        <w:rPr>
          <w:szCs w:val="22"/>
        </w:rPr>
      </w:pPr>
      <w:r w:rsidRPr="0000277E">
        <w:rPr>
          <w:rFonts w:cstheme="minorHAnsi"/>
          <w:szCs w:val="22"/>
        </w:rPr>
        <w:t>Le PNUE et l'IPBES rappellent que 80 % de la surface agricole est consacrée à l'élevage.</w:t>
      </w:r>
      <w:r w:rsidRPr="0000277E">
        <w:rPr>
          <w:rFonts w:cstheme="minorHAnsi"/>
          <w:color w:val="000000"/>
          <w:szCs w:val="22"/>
        </w:rPr>
        <w:t xml:space="preserve"> Le maïs, plante essentiellement fourragère et industrielle, ne particip</w:t>
      </w:r>
      <w:r w:rsidR="007B4EF7" w:rsidRPr="0000277E">
        <w:rPr>
          <w:rFonts w:cstheme="minorHAnsi"/>
          <w:color w:val="000000"/>
          <w:szCs w:val="22"/>
        </w:rPr>
        <w:t>e</w:t>
      </w:r>
      <w:r w:rsidRPr="0000277E">
        <w:rPr>
          <w:rFonts w:cstheme="minorHAnsi"/>
          <w:color w:val="000000"/>
          <w:szCs w:val="22"/>
        </w:rPr>
        <w:t xml:space="preserve"> pas directement à la sécurité alimentaire</w:t>
      </w:r>
      <w:r w:rsidR="007B4EF7" w:rsidRPr="0000277E">
        <w:rPr>
          <w:rFonts w:cstheme="minorHAnsi"/>
          <w:color w:val="000000"/>
          <w:szCs w:val="22"/>
        </w:rPr>
        <w:t>.</w:t>
      </w:r>
      <w:r w:rsidR="00491BCF" w:rsidRPr="0000277E">
        <w:rPr>
          <w:rFonts w:cstheme="minorHAnsi"/>
          <w:color w:val="000000"/>
          <w:szCs w:val="22"/>
        </w:rPr>
        <w:t xml:space="preserve"> </w:t>
      </w:r>
      <w:r w:rsidR="006E1797" w:rsidRPr="0000277E">
        <w:rPr>
          <w:rFonts w:cstheme="minorHAnsi"/>
          <w:color w:val="000000"/>
          <w:szCs w:val="22"/>
        </w:rPr>
        <w:t>Avec un système alimentaire reposant sur des végétaux</w:t>
      </w:r>
      <w:r w:rsidR="00491BCF" w:rsidRPr="0000277E">
        <w:rPr>
          <w:rFonts w:cstheme="minorHAnsi"/>
          <w:color w:val="000000"/>
          <w:szCs w:val="22"/>
        </w:rPr>
        <w:t>, la production alimentaire serait excédentaire.</w:t>
      </w:r>
    </w:p>
    <w:p w14:paraId="7CAD57E9" w14:textId="51C01BBF" w:rsidR="00C24E44" w:rsidRPr="0000277E" w:rsidRDefault="00144DBB" w:rsidP="0000277E">
      <w:pPr>
        <w:rPr>
          <w:rFonts w:cstheme="minorHAnsi"/>
          <w:szCs w:val="22"/>
        </w:rPr>
      </w:pPr>
      <w:r w:rsidRPr="0000277E">
        <w:rPr>
          <w:rFonts w:cstheme="minorHAnsi"/>
          <w:szCs w:val="22"/>
        </w:rPr>
        <w:t>La sécurité alimentaire n’est pas assurée par un haut niveau de production</w:t>
      </w:r>
      <w:r w:rsidR="00530492" w:rsidRPr="0000277E">
        <w:rPr>
          <w:rFonts w:cstheme="minorHAnsi"/>
          <w:szCs w:val="22"/>
        </w:rPr>
        <w:t>,</w:t>
      </w:r>
      <w:r w:rsidRPr="0000277E">
        <w:rPr>
          <w:rFonts w:cstheme="minorHAnsi"/>
          <w:szCs w:val="22"/>
        </w:rPr>
        <w:t xml:space="preserve"> </w:t>
      </w:r>
      <w:r w:rsidR="00530492" w:rsidRPr="0000277E">
        <w:rPr>
          <w:rFonts w:cstheme="minorHAnsi"/>
          <w:szCs w:val="22"/>
        </w:rPr>
        <w:t xml:space="preserve">mais dépend avant tout de la capacité des </w:t>
      </w:r>
      <w:r w:rsidR="00C24E44" w:rsidRPr="0000277E">
        <w:rPr>
          <w:rFonts w:cstheme="minorHAnsi"/>
          <w:szCs w:val="22"/>
        </w:rPr>
        <w:t>populations</w:t>
      </w:r>
      <w:r w:rsidR="00530492" w:rsidRPr="0000277E">
        <w:rPr>
          <w:rFonts w:cstheme="minorHAnsi"/>
          <w:szCs w:val="22"/>
        </w:rPr>
        <w:t xml:space="preserve">, en particulier </w:t>
      </w:r>
      <w:r w:rsidR="00B10C5A" w:rsidRPr="0000277E">
        <w:rPr>
          <w:rFonts w:cstheme="minorHAnsi"/>
          <w:szCs w:val="22"/>
        </w:rPr>
        <w:t>les pauvres</w:t>
      </w:r>
      <w:r w:rsidR="00C24E44" w:rsidRPr="0000277E">
        <w:rPr>
          <w:rFonts w:cstheme="minorHAnsi"/>
          <w:szCs w:val="22"/>
        </w:rPr>
        <w:t xml:space="preserve"> </w:t>
      </w:r>
      <w:r w:rsidR="00530492" w:rsidRPr="0000277E">
        <w:rPr>
          <w:rFonts w:cstheme="minorHAnsi"/>
          <w:szCs w:val="22"/>
        </w:rPr>
        <w:t>des zones rurales, d'obtenir les revenus nécessaires pour avoir accès à la nourriture</w:t>
      </w:r>
      <w:r w:rsidR="00C24E44" w:rsidRPr="0000277E">
        <w:rPr>
          <w:rFonts w:cstheme="minorHAnsi"/>
          <w:szCs w:val="22"/>
        </w:rPr>
        <w:t>.</w:t>
      </w:r>
    </w:p>
    <w:p w14:paraId="7DCD190C" w14:textId="276006B6" w:rsidR="00530492" w:rsidRPr="0000277E" w:rsidRDefault="00A12F33" w:rsidP="0000277E">
      <w:pPr>
        <w:rPr>
          <w:rFonts w:cstheme="minorHAnsi"/>
          <w:szCs w:val="22"/>
        </w:rPr>
      </w:pPr>
      <w:r w:rsidRPr="0000277E">
        <w:rPr>
          <w:rFonts w:cstheme="minorHAnsi"/>
          <w:szCs w:val="22"/>
        </w:rPr>
        <w:t xml:space="preserve"> Le choix d'une agriculture industrielle, peu créatrice d'emplois, accélère l'exode rural (graves conséquences sociales pour les pays du sud).</w:t>
      </w:r>
      <w:r w:rsidR="00C24E44" w:rsidRPr="0000277E">
        <w:rPr>
          <w:rFonts w:cstheme="minorHAnsi"/>
          <w:szCs w:val="22"/>
        </w:rPr>
        <w:t xml:space="preserve"> Le secteur alimentaire doit fournir des emplois décents, plus intensifs en travail.</w:t>
      </w:r>
    </w:p>
    <w:p w14:paraId="4046CFF4" w14:textId="04C622E6" w:rsidR="00CB4A7F" w:rsidRPr="0000277E" w:rsidRDefault="00CB4A7F" w:rsidP="0000277E">
      <w:pPr>
        <w:rPr>
          <w:rFonts w:cstheme="minorHAnsi"/>
          <w:szCs w:val="22"/>
        </w:rPr>
      </w:pPr>
      <w:r w:rsidRPr="0000277E">
        <w:rPr>
          <w:rFonts w:cstheme="minorHAnsi"/>
          <w:szCs w:val="22"/>
        </w:rPr>
        <w:t xml:space="preserve">La productivité agricole </w:t>
      </w:r>
      <w:r w:rsidR="005362C8" w:rsidRPr="0000277E">
        <w:rPr>
          <w:rFonts w:cstheme="minorHAnsi"/>
          <w:szCs w:val="22"/>
        </w:rPr>
        <w:t>et l’expansion des surface</w:t>
      </w:r>
      <w:r w:rsidRPr="0000277E">
        <w:rPr>
          <w:rFonts w:cstheme="minorHAnsi"/>
          <w:szCs w:val="22"/>
        </w:rPr>
        <w:t>s</w:t>
      </w:r>
      <w:r w:rsidR="005362C8" w:rsidRPr="0000277E">
        <w:rPr>
          <w:rFonts w:cstheme="minorHAnsi"/>
          <w:szCs w:val="22"/>
        </w:rPr>
        <w:t xml:space="preserve"> se sont</w:t>
      </w:r>
      <w:r w:rsidR="00530492" w:rsidRPr="0000277E">
        <w:rPr>
          <w:rFonts w:cstheme="minorHAnsi"/>
          <w:szCs w:val="22"/>
        </w:rPr>
        <w:t xml:space="preserve"> surtout </w:t>
      </w:r>
      <w:r w:rsidRPr="0000277E">
        <w:rPr>
          <w:rFonts w:cstheme="minorHAnsi"/>
          <w:szCs w:val="22"/>
        </w:rPr>
        <w:t>traduite</w:t>
      </w:r>
      <w:r w:rsidR="005362C8" w:rsidRPr="0000277E">
        <w:rPr>
          <w:rFonts w:cstheme="minorHAnsi"/>
          <w:szCs w:val="22"/>
        </w:rPr>
        <w:t>s</w:t>
      </w:r>
      <w:r w:rsidRPr="0000277E">
        <w:rPr>
          <w:rFonts w:cstheme="minorHAnsi"/>
          <w:szCs w:val="22"/>
        </w:rPr>
        <w:t xml:space="preserve"> par une augmentation</w:t>
      </w:r>
      <w:r w:rsidR="00530492" w:rsidRPr="0000277E">
        <w:rPr>
          <w:rFonts w:cstheme="minorHAnsi"/>
          <w:szCs w:val="22"/>
        </w:rPr>
        <w:t xml:space="preserve"> de la production d'aliments po</w:t>
      </w:r>
      <w:r w:rsidRPr="0000277E">
        <w:rPr>
          <w:rFonts w:cstheme="minorHAnsi"/>
          <w:szCs w:val="22"/>
        </w:rPr>
        <w:t xml:space="preserve">ur les animaux, </w:t>
      </w:r>
      <w:r w:rsidR="00530492" w:rsidRPr="0000277E">
        <w:rPr>
          <w:rFonts w:cstheme="minorHAnsi"/>
          <w:szCs w:val="22"/>
        </w:rPr>
        <w:t xml:space="preserve">de produits </w:t>
      </w:r>
      <w:r w:rsidRPr="0000277E">
        <w:rPr>
          <w:rFonts w:cstheme="minorHAnsi"/>
          <w:szCs w:val="22"/>
        </w:rPr>
        <w:t>énergétique</w:t>
      </w:r>
      <w:r w:rsidR="00B10C5A">
        <w:rPr>
          <w:rFonts w:cstheme="minorHAnsi"/>
          <w:szCs w:val="22"/>
        </w:rPr>
        <w:t>s</w:t>
      </w:r>
      <w:r w:rsidRPr="0000277E">
        <w:rPr>
          <w:rFonts w:cstheme="minorHAnsi"/>
          <w:szCs w:val="22"/>
        </w:rPr>
        <w:t xml:space="preserve"> (agro</w:t>
      </w:r>
      <w:r w:rsidR="008641E0" w:rsidRPr="0000277E">
        <w:rPr>
          <w:rFonts w:cstheme="minorHAnsi"/>
          <w:szCs w:val="22"/>
        </w:rPr>
        <w:t>-</w:t>
      </w:r>
      <w:r w:rsidRPr="0000277E">
        <w:rPr>
          <w:rFonts w:cstheme="minorHAnsi"/>
          <w:szCs w:val="22"/>
        </w:rPr>
        <w:t>ca</w:t>
      </w:r>
      <w:r w:rsidR="008641E0" w:rsidRPr="0000277E">
        <w:rPr>
          <w:rFonts w:cstheme="minorHAnsi"/>
          <w:szCs w:val="22"/>
        </w:rPr>
        <w:t>r</w:t>
      </w:r>
      <w:r w:rsidRPr="0000277E">
        <w:rPr>
          <w:rFonts w:cstheme="minorHAnsi"/>
          <w:szCs w:val="22"/>
        </w:rPr>
        <w:t>burants)</w:t>
      </w:r>
      <w:r w:rsidR="00530492" w:rsidRPr="0000277E">
        <w:rPr>
          <w:rFonts w:cstheme="minorHAnsi"/>
          <w:szCs w:val="22"/>
        </w:rPr>
        <w:t xml:space="preserve">, de matériaux </w:t>
      </w:r>
      <w:proofErr w:type="spellStart"/>
      <w:r w:rsidR="00530492" w:rsidRPr="0000277E">
        <w:rPr>
          <w:rFonts w:cstheme="minorHAnsi"/>
          <w:szCs w:val="22"/>
        </w:rPr>
        <w:t>biosourcés</w:t>
      </w:r>
      <w:proofErr w:type="spellEnd"/>
      <w:r w:rsidR="00530492" w:rsidRPr="0000277E">
        <w:rPr>
          <w:rFonts w:cstheme="minorHAnsi"/>
          <w:szCs w:val="22"/>
        </w:rPr>
        <w:t xml:space="preserve"> (bois, </w:t>
      </w:r>
      <w:proofErr w:type="spellStart"/>
      <w:r w:rsidR="00530492" w:rsidRPr="0000277E">
        <w:rPr>
          <w:rFonts w:cstheme="minorHAnsi"/>
          <w:szCs w:val="22"/>
        </w:rPr>
        <w:t>bioéconomie</w:t>
      </w:r>
      <w:proofErr w:type="spellEnd"/>
      <w:r w:rsidR="00530492" w:rsidRPr="0000277E">
        <w:rPr>
          <w:rFonts w:cstheme="minorHAnsi"/>
          <w:szCs w:val="22"/>
        </w:rPr>
        <w:t>...)</w:t>
      </w:r>
      <w:r w:rsidR="0084595C" w:rsidRPr="0000277E">
        <w:rPr>
          <w:rFonts w:cstheme="minorHAnsi"/>
          <w:szCs w:val="22"/>
        </w:rPr>
        <w:t>.</w:t>
      </w:r>
      <w:r w:rsidRPr="0000277E">
        <w:rPr>
          <w:rFonts w:cstheme="minorHAnsi"/>
          <w:szCs w:val="22"/>
        </w:rPr>
        <w:t xml:space="preserve"> </w:t>
      </w:r>
    </w:p>
    <w:p w14:paraId="1A6A83EA" w14:textId="77777777" w:rsidR="001920AA" w:rsidRPr="0000277E" w:rsidRDefault="001920AA" w:rsidP="0000277E">
      <w:pPr>
        <w:rPr>
          <w:szCs w:val="22"/>
        </w:rPr>
      </w:pPr>
    </w:p>
    <w:p w14:paraId="0353714B" w14:textId="6650AE1B" w:rsidR="008641E0" w:rsidRPr="0000277E" w:rsidRDefault="008641E0" w:rsidP="0000277E">
      <w:pPr>
        <w:rPr>
          <w:b/>
          <w:szCs w:val="22"/>
        </w:rPr>
      </w:pPr>
      <w:r w:rsidRPr="0000277E">
        <w:rPr>
          <w:b/>
          <w:szCs w:val="22"/>
        </w:rPr>
        <w:t xml:space="preserve">• Les indicateurs : </w:t>
      </w:r>
      <w:r w:rsidR="005362C8" w:rsidRPr="0000277E">
        <w:rPr>
          <w:b/>
          <w:szCs w:val="22"/>
        </w:rPr>
        <w:t xml:space="preserve">un </w:t>
      </w:r>
      <w:r w:rsidRPr="0000277E">
        <w:rPr>
          <w:b/>
          <w:szCs w:val="22"/>
        </w:rPr>
        <w:t>risque normatif</w:t>
      </w:r>
    </w:p>
    <w:p w14:paraId="593E6409" w14:textId="77777777" w:rsidR="003A1D62" w:rsidRPr="0000277E" w:rsidRDefault="003A1D62" w:rsidP="0000277E">
      <w:pPr>
        <w:pStyle w:val="Commentaire"/>
        <w:rPr>
          <w:sz w:val="22"/>
          <w:szCs w:val="22"/>
        </w:rPr>
      </w:pPr>
      <w:r w:rsidRPr="0000277E">
        <w:rPr>
          <w:sz w:val="22"/>
          <w:szCs w:val="22"/>
        </w:rPr>
        <w:t>La mesure des performances environnementales repose toujours sur une modélisation. Comme les données de surfaces et de biomasse sont les plus facilement accessibles, les modèles ont tendance à privilégier ces métriques au détriment de la biodiversité, des flux hydriques et des effets de bords.</w:t>
      </w:r>
    </w:p>
    <w:p w14:paraId="332E0717" w14:textId="7309E730" w:rsidR="008641E0" w:rsidRPr="0000277E" w:rsidRDefault="008641E0" w:rsidP="0000277E">
      <w:pPr>
        <w:rPr>
          <w:szCs w:val="22"/>
        </w:rPr>
      </w:pPr>
      <w:r w:rsidRPr="0000277E">
        <w:rPr>
          <w:szCs w:val="22"/>
        </w:rPr>
        <w:t>La façon de labelliser des produits et leurs empreintes écologiques tient très mal compte de la biodiversité</w:t>
      </w:r>
      <w:r w:rsidR="000C3387" w:rsidRPr="0000277E">
        <w:rPr>
          <w:szCs w:val="22"/>
        </w:rPr>
        <w:t xml:space="preserve"> et des effets des pesticides</w:t>
      </w:r>
      <w:r w:rsidRPr="0000277E">
        <w:rPr>
          <w:szCs w:val="22"/>
        </w:rPr>
        <w:t>. Les calculs d’empreintes sont des calculs en termes d’espaces consommés</w:t>
      </w:r>
      <w:r w:rsidR="006E1797" w:rsidRPr="0000277E">
        <w:rPr>
          <w:szCs w:val="22"/>
        </w:rPr>
        <w:t>.</w:t>
      </w:r>
      <w:r w:rsidRPr="0000277E">
        <w:rPr>
          <w:szCs w:val="22"/>
        </w:rPr>
        <w:t xml:space="preserve"> L'agriculture intensive apparait alors comme meilleur</w:t>
      </w:r>
      <w:r w:rsidR="003A1D62" w:rsidRPr="0000277E">
        <w:rPr>
          <w:szCs w:val="22"/>
        </w:rPr>
        <w:t>e</w:t>
      </w:r>
      <w:r w:rsidRPr="0000277E">
        <w:rPr>
          <w:szCs w:val="22"/>
        </w:rPr>
        <w:t xml:space="preserve"> pour l’environnement que le partage.</w:t>
      </w:r>
    </w:p>
    <w:p w14:paraId="07D2C3B8" w14:textId="5295DC7E" w:rsidR="00E250E9" w:rsidRPr="0000277E" w:rsidRDefault="008641E0" w:rsidP="0000277E">
      <w:pPr>
        <w:rPr>
          <w:rFonts w:cstheme="minorHAnsi"/>
          <w:szCs w:val="22"/>
        </w:rPr>
      </w:pPr>
      <w:r w:rsidRPr="0000277E">
        <w:rPr>
          <w:szCs w:val="22"/>
        </w:rPr>
        <w:t>Pour mesurer les impacts de l'agriculture, il conviendrait d'inclure</w:t>
      </w:r>
      <w:r w:rsidRPr="0000277E">
        <w:rPr>
          <w:rFonts w:cstheme="minorHAnsi"/>
          <w:szCs w:val="22"/>
        </w:rPr>
        <w:t xml:space="preserve"> les systèmes alimentaires </w:t>
      </w:r>
      <w:r w:rsidR="00E250E9" w:rsidRPr="0000277E">
        <w:rPr>
          <w:rFonts w:cstheme="minorHAnsi"/>
          <w:szCs w:val="22"/>
        </w:rPr>
        <w:t xml:space="preserve">et les impacts environnementaux, penser en termes de calories, de cycles de production, de diversité et </w:t>
      </w:r>
      <w:r w:rsidR="00E250E9" w:rsidRPr="0000277E">
        <w:rPr>
          <w:rFonts w:cstheme="minorHAnsi"/>
          <w:szCs w:val="22"/>
        </w:rPr>
        <w:lastRenderedPageBreak/>
        <w:t xml:space="preserve">abondance des espèces… meilleurs indicateurs que les calculs qui </w:t>
      </w:r>
      <w:r w:rsidR="000C3387" w:rsidRPr="0000277E">
        <w:rPr>
          <w:rFonts w:cstheme="minorHAnsi"/>
          <w:szCs w:val="22"/>
        </w:rPr>
        <w:t xml:space="preserve">ne </w:t>
      </w:r>
      <w:r w:rsidR="00E250E9" w:rsidRPr="0000277E">
        <w:rPr>
          <w:rFonts w:cstheme="minorHAnsi"/>
          <w:szCs w:val="22"/>
        </w:rPr>
        <w:t xml:space="preserve">reposent </w:t>
      </w:r>
      <w:r w:rsidR="000C3387" w:rsidRPr="0000277E">
        <w:rPr>
          <w:rFonts w:cstheme="minorHAnsi"/>
          <w:szCs w:val="22"/>
        </w:rPr>
        <w:t xml:space="preserve">que </w:t>
      </w:r>
      <w:r w:rsidR="00E250E9" w:rsidRPr="0000277E">
        <w:rPr>
          <w:rFonts w:cstheme="minorHAnsi"/>
          <w:szCs w:val="22"/>
        </w:rPr>
        <w:t>sur la biomasse des monocultures.</w:t>
      </w:r>
    </w:p>
    <w:p w14:paraId="3BAB2377" w14:textId="77777777" w:rsidR="00B70345" w:rsidRPr="0000277E" w:rsidRDefault="00B70345" w:rsidP="0000277E">
      <w:pPr>
        <w:rPr>
          <w:rFonts w:cstheme="minorHAnsi"/>
          <w:szCs w:val="22"/>
        </w:rPr>
      </w:pPr>
      <w:r w:rsidRPr="0000277E">
        <w:rPr>
          <w:rFonts w:cstheme="minorHAnsi"/>
          <w:szCs w:val="22"/>
        </w:rPr>
        <w:t>Dans de nombreux contextes, les systèmes de production intégrés dans les paysages complexes sont très productifs tout en étant riches en biodiversité.</w:t>
      </w:r>
    </w:p>
    <w:p w14:paraId="16AC1002" w14:textId="51F54AD9" w:rsidR="000C3387" w:rsidRPr="0000277E" w:rsidRDefault="00E250E9" w:rsidP="0000277E">
      <w:pPr>
        <w:rPr>
          <w:rFonts w:cstheme="minorHAnsi"/>
          <w:szCs w:val="22"/>
        </w:rPr>
      </w:pPr>
      <w:r w:rsidRPr="0000277E">
        <w:rPr>
          <w:rFonts w:cstheme="minorHAnsi"/>
          <w:szCs w:val="22"/>
        </w:rPr>
        <w:t>Il est difficile de modéliser l’agroécologie qui met en jeu toutes les synergies humains/non humains dans les écosystèmes, mais aussi les interactions sociales, institutionnelles, politiques,  techniques</w:t>
      </w:r>
      <w:r w:rsidR="000C3387" w:rsidRPr="0000277E">
        <w:rPr>
          <w:rFonts w:cstheme="minorHAnsi"/>
          <w:szCs w:val="22"/>
        </w:rPr>
        <w:t>, car elle est encore à développer</w:t>
      </w:r>
      <w:r w:rsidR="00D27F55">
        <w:rPr>
          <w:rFonts w:cstheme="minorHAnsi"/>
          <w:szCs w:val="22"/>
        </w:rPr>
        <w:t xml:space="preserve">, même si plusieurs synthèses récentes fournissent déjà des éléments quantitatifs </w:t>
      </w:r>
      <w:r w:rsidR="005A6A0D">
        <w:rPr>
          <w:rFonts w:cstheme="minorHAnsi"/>
          <w:szCs w:val="22"/>
        </w:rPr>
        <w:fldChar w:fldCharType="begin" w:fldLock="1"/>
      </w:r>
      <w:r w:rsidR="005A6A0D">
        <w:rPr>
          <w:rFonts w:cstheme="minorHAnsi"/>
          <w:szCs w:val="22"/>
        </w:rPr>
        <w:instrText>ADDIN CSL_CITATION {"citationItems":[{"id":"ITEM-1","itemData":{"abstract":"Prendre en compte conjointement les enjeux d'alimentation durable des Européens, de préservation de la biodiversité et des ressources naturelles et de lutte contre le changement climatique suppose une transition profonde de notre système agricole et alimentaire. Un projet agroécologique fondé sur l'abandon des pesticides et des engrais de synthèse, et le redéploiement de prairies extensives et d'infrastructures paysagères permettrait une prise en charge cohérente de ces enjeux. UNE MODÉLISATION ORIGINALE DU SYSTÈME ALIMENTAIRE EUROPÉEN Le projet TYFA explore la possibilité de généraliser une telle agroécologie à l'échelle européenne en analysant les usages et besoins de la production agricole, actuelle et future. Un modèle quantitatif original (TYFAm), mettant en relation systémique la production agricole, les modes de production et l'usage des terres, permet d'analyser rétrospectivement le fonctionnement du système alimentaire européen et de quantifier un scénario agroécologique à 2050 en testant les implications de différentes hypothèses.","author":[{"dropping-particle":"","family":"Poux","given":"Xavier","non-dropping-particle":"","parse-names":false,"suffix":""},{"dropping-particle":"","family":"Aubert","given":"Pierre-Marie","non-dropping-particle":"","parse-names":false,"suffix":""}],"id":"ITEM-1","issued":{"date-parts":[["2018"]]},"number-of-pages":"78","publisher-place":"Paris","title":"Institut du développement durable et des relations internationales 27, rue Saint-Guillaume 75337 Paris cedex 07 France Enseignements d'une modélisation du système alimentaire européen","type":"report"},"uris":["http://www.mendeley.com/documents/?uuid=32596c68-27b1-354e-916c-8fa6f0bac783"]},{"id":"ITEM-2","itemData":{"author":[{"dropping-particle":"","family":"DeClerck","given":"Fabrice AJ","non-dropping-particle":"","parse-names":false,"suffix":""},{"dropping-particle":"","family":"Koziell","given":"Izabella","non-dropping-particle":"","parse-names":false,"suffix":""},{"dropping-particle":"","family":"Sidhu","given":"Aman","non-dropping-particle":"","parse-names":false,"suffix":""},{"dropping-particle":"","family":"Wirths","given":"Jonathan","non-dropping-particle":"","parse-names":false,"suffix":""},{"dropping-particle":"","family":"Benton","given":"Tim","non-dropping-particle":"","parse-names":false,"suffix":""},{"dropping-particle":"","family":"Garibaldi","given":"Lucas A","non-dropping-particle":"","parse-names":false,"suffix":""},{"dropping-particle":"","family":"Kremen","given":"Claire","non-dropping-particle":"","parse-names":false,"suffix":""},{"dropping-particle":"","family":"Maron","given":"Martine","non-dropping-particle":"","parse-names":false,"suffix":""},{"dropping-particle":"","family":"Rumbaitis del Rio","given":"Cristina","non-dropping-particle":"","parse-names":false,"suffix":""},{"dropping-particle":"","family":"Clark","given":"Michael","non-dropping-particle":"","parse-names":false,"suffix":""},{"dropping-particle":"","family":"Dickens","given":"Chris","non-dropping-particle":"","parse-names":false,"suffix":""},{"dropping-particle":"","family":"Estrada-Carmona","given":"Natalia","non-dropping-particle":"","parse-names":false,"suffix":""},{"dropping-particle":"","family":"Fremier","given":"Alexander K","non-dropping-particle":"","parse-names":false,"suffix":""},{"dropping-particle":"","family":"Jones","given":"Sarah K","non-dropping-particle":"","parse-names":false,"suffix":""},{"dropping-particle":"","family":"Khoury","given":"Colin K","non-dropping-particle":"","parse-names":false,"suffix":""},{"dropping-particle":"","family":"Lal","given":"Rattan","non-dropping-particle":"","parse-names":false,"suffix":""},{"dropping-particle":"","family":"Obersteiner","given":"Michael","non-dropping-particle":"","parse-names":false,"suffix":""},{"dropping-particle":"","family":"Remans","given":"Roseline","non-dropping-particle":"","parse-names":false,"suffix":""},{"dropping-particle":"","family":"Rusch","given":"Adrien","non-dropping-particle":"","parse-names":false,"suffix":""},{"dropping-particle":"","family":"Schulte","given":"Lisa A","non-dropping-particle":"","parse-names":false,"suffix":""},{"dropping-particle":"","family":"Simmonds","given":"Jeremy","non-dropping-particle":"","parse-names":false,"suffix":""},{"dropping-particle":"","family":"Stringer","given":"Lindsay C","non-dropping-particle":"","parse-names":false,"suffix":""},{"dropping-particle":"","family":"Weber","given":"Christopher","non-dropping-particle":"","parse-names":false,"suffix":""},{"dropping-particle":"","family":"Winowiecki","given":"Leigh","non-dropping-particle":"","parse-names":false,"suffix":""}],"id":"ITEM-2","issued":{"date-parts":[["2021"]]},"number-of-pages":"74","publisher-place":"Colombo (Sri Lanka)","title":"Biodiversity and Agriculture: Rapid Evidence Review","type":"report"},"uris":["http://www.mendeley.com/documents/?uuid=0da462b7-1410-3553-8d64-9fe954482644"]}],"mendeley":{"formattedCitation":"(DeClerck et al., 2021; Poux &amp; Aubert, 2018)","plainTextFormattedCitation":"(DeClerck et al., 2021; Poux &amp; Aubert, 2018)"},"properties":{"noteIndex":0},"schema":"https://github.com/citation-style-language/schema/raw/master/csl-citation.json"}</w:instrText>
      </w:r>
      <w:r w:rsidR="005A6A0D">
        <w:rPr>
          <w:rFonts w:cstheme="minorHAnsi"/>
          <w:szCs w:val="22"/>
        </w:rPr>
        <w:fldChar w:fldCharType="separate"/>
      </w:r>
      <w:r w:rsidR="005A6A0D" w:rsidRPr="005A6A0D">
        <w:rPr>
          <w:rFonts w:cstheme="minorHAnsi"/>
          <w:noProof/>
          <w:szCs w:val="22"/>
        </w:rPr>
        <w:t>(DeClerck et al., 2021; Poux &amp; Aubert, 2018)</w:t>
      </w:r>
      <w:r w:rsidR="005A6A0D">
        <w:rPr>
          <w:rFonts w:cstheme="minorHAnsi"/>
          <w:szCs w:val="22"/>
        </w:rPr>
        <w:fldChar w:fldCharType="end"/>
      </w:r>
      <w:r w:rsidR="005A6A0D">
        <w:rPr>
          <w:rFonts w:cstheme="minorHAnsi"/>
          <w:szCs w:val="22"/>
        </w:rPr>
        <w:t>.</w:t>
      </w:r>
      <w:r w:rsidRPr="0000277E">
        <w:rPr>
          <w:rFonts w:cstheme="minorHAnsi"/>
          <w:szCs w:val="22"/>
        </w:rPr>
        <w:t xml:space="preserve"> Il ne s'agit pas d'un cahier des charges, mais d'un projet </w:t>
      </w:r>
      <w:r w:rsidR="000C3387" w:rsidRPr="0000277E">
        <w:rPr>
          <w:rFonts w:cstheme="minorHAnsi"/>
          <w:szCs w:val="22"/>
        </w:rPr>
        <w:t>qui suppose un certain nombre de changements socio-économiques.</w:t>
      </w:r>
    </w:p>
    <w:p w14:paraId="1B034B77" w14:textId="212952E7" w:rsidR="00CE7856" w:rsidRPr="0000277E" w:rsidRDefault="00CE7856" w:rsidP="0000277E">
      <w:pPr>
        <w:rPr>
          <w:rFonts w:cstheme="minorHAnsi"/>
          <w:szCs w:val="22"/>
        </w:rPr>
      </w:pPr>
    </w:p>
    <w:p w14:paraId="1575A72A" w14:textId="51395DDA" w:rsidR="00CE7856" w:rsidRPr="0000277E" w:rsidRDefault="00CE7856" w:rsidP="0000277E">
      <w:pPr>
        <w:rPr>
          <w:rFonts w:cstheme="minorHAnsi"/>
          <w:b/>
          <w:bCs/>
          <w:szCs w:val="22"/>
        </w:rPr>
      </w:pPr>
      <w:r w:rsidRPr="0000277E">
        <w:rPr>
          <w:rFonts w:cstheme="minorHAnsi"/>
          <w:b/>
          <w:bCs/>
          <w:szCs w:val="22"/>
        </w:rPr>
        <w:t>• Conservation et intégrité</w:t>
      </w:r>
    </w:p>
    <w:p w14:paraId="2198FD0A" w14:textId="4A454637" w:rsidR="00CE7856" w:rsidRPr="0000277E" w:rsidRDefault="00CE7856" w:rsidP="0000277E">
      <w:pPr>
        <w:rPr>
          <w:szCs w:val="22"/>
        </w:rPr>
      </w:pPr>
      <w:r w:rsidRPr="0000277E">
        <w:rPr>
          <w:szCs w:val="22"/>
        </w:rPr>
        <w:t>La science du système terrestre estime que pour conserver 80 % de la biodiversité mondiale, il faudrait garder intacte au moins la moitié de chaque écorégion mondiale, et que ce même niveau de conservation et de restauration est nécessaire pour atténuer le changement climatique</w:t>
      </w:r>
      <w:r w:rsidR="00D27F55">
        <w:rPr>
          <w:szCs w:val="22"/>
        </w:rPr>
        <w:t xml:space="preserve"> </w:t>
      </w:r>
      <w:r w:rsidR="00D27F55">
        <w:rPr>
          <w:szCs w:val="22"/>
        </w:rPr>
        <w:fldChar w:fldCharType="begin" w:fldLock="1"/>
      </w:r>
      <w:r w:rsidR="005A6A0D">
        <w:rPr>
          <w:szCs w:val="22"/>
        </w:rPr>
        <w:instrText>ADDIN CSL_CITATION {"citationItems":[{"id":"ITEM-1","itemData":{"author":[{"dropping-particle":"","family":"Edward O. Wilson","given":"","non-dropping-particle":"","parse-names":false,"suffix":""}],"id":"ITEM-1","issued":{"date-parts":[["2016"]]},"number-of-pages":"256","publisher":"Liveright Publishing Corporation","publisher-place":"New York","title":"Half-Earth: Our Planet's Fight for Life","type":"book"},"uris":["http://www.mendeley.com/documents/?uuid=33ea95c7-7413-31a1-bf67-43eaf8d8dd06"]}],"mendeley":{"formattedCitation":"(Edward O. Wilson, 2016)","plainTextFormattedCitation":"(Edward O. Wilson, 2016)","previouslyFormattedCitation":"(Edward O. Wilson, 2016)"},"properties":{"noteIndex":0},"schema":"https://github.com/citation-style-language/schema/raw/master/csl-citation.json"}</w:instrText>
      </w:r>
      <w:r w:rsidR="00D27F55">
        <w:rPr>
          <w:szCs w:val="22"/>
        </w:rPr>
        <w:fldChar w:fldCharType="separate"/>
      </w:r>
      <w:r w:rsidR="005A6A0D" w:rsidRPr="005A6A0D">
        <w:rPr>
          <w:noProof/>
          <w:szCs w:val="22"/>
        </w:rPr>
        <w:t>(Edward O. Wilson, 2016)</w:t>
      </w:r>
      <w:r w:rsidR="00D27F55">
        <w:rPr>
          <w:szCs w:val="22"/>
        </w:rPr>
        <w:fldChar w:fldCharType="end"/>
      </w:r>
      <w:r w:rsidRPr="0000277E">
        <w:rPr>
          <w:szCs w:val="22"/>
        </w:rPr>
        <w:t xml:space="preserve">. </w:t>
      </w:r>
    </w:p>
    <w:p w14:paraId="05302315" w14:textId="1AF2A3C6" w:rsidR="00CE7856" w:rsidRPr="0000277E" w:rsidRDefault="00CE7856" w:rsidP="0000277E">
      <w:pPr>
        <w:rPr>
          <w:szCs w:val="22"/>
        </w:rPr>
      </w:pPr>
      <w:r w:rsidRPr="0000277E">
        <w:rPr>
          <w:szCs w:val="22"/>
        </w:rPr>
        <w:t xml:space="preserve">La conservation de la nature doit également se faire dans des paysages agricoles ou en mosaïque. Pour régénérer les services écosystémiques et renforcer la résilience de l'agriculture, il faut accroître la diversité à toutes les échelles de l'agriculture, des champs aux paysages. </w:t>
      </w:r>
      <w:r w:rsidR="00D27F55">
        <w:rPr>
          <w:szCs w:val="22"/>
        </w:rPr>
        <w:t>Ainsi, on estime que</w:t>
      </w:r>
      <w:r w:rsidR="004A4FC2">
        <w:rPr>
          <w:szCs w:val="22"/>
        </w:rPr>
        <w:t>,</w:t>
      </w:r>
      <w:r w:rsidR="00D27F55">
        <w:rPr>
          <w:szCs w:val="22"/>
        </w:rPr>
        <w:t xml:space="preserve"> </w:t>
      </w:r>
      <w:r w:rsidR="004A4FC2">
        <w:rPr>
          <w:szCs w:val="22"/>
        </w:rPr>
        <w:t xml:space="preserve">pour </w:t>
      </w:r>
      <w:r w:rsidR="00D27F55">
        <w:rPr>
          <w:szCs w:val="22"/>
        </w:rPr>
        <w:t xml:space="preserve">maintenir l’intégrité écologique </w:t>
      </w:r>
      <w:r w:rsidR="00D27F55" w:rsidRPr="0000277E">
        <w:rPr>
          <w:szCs w:val="22"/>
        </w:rPr>
        <w:t>et la contribution de la biodiversité à l'agriculture régénérative</w:t>
      </w:r>
      <w:r w:rsidR="004A4FC2">
        <w:rPr>
          <w:szCs w:val="22"/>
        </w:rPr>
        <w:t>,</w:t>
      </w:r>
      <w:r w:rsidR="00D27F55">
        <w:rPr>
          <w:szCs w:val="22"/>
        </w:rPr>
        <w:t xml:space="preserve"> </w:t>
      </w:r>
      <w:r w:rsidRPr="0000277E">
        <w:rPr>
          <w:szCs w:val="22"/>
        </w:rPr>
        <w:t xml:space="preserve">un minimum de 10 % d'habitats </w:t>
      </w:r>
      <w:r w:rsidR="00D27F55">
        <w:rPr>
          <w:szCs w:val="22"/>
        </w:rPr>
        <w:t xml:space="preserve">naturels </w:t>
      </w:r>
      <w:r w:rsidRPr="0000277E">
        <w:rPr>
          <w:szCs w:val="22"/>
        </w:rPr>
        <w:t xml:space="preserve">par kilomètre carré </w:t>
      </w:r>
      <w:r w:rsidR="00D27F55">
        <w:rPr>
          <w:szCs w:val="22"/>
        </w:rPr>
        <w:t>doit être maintenu ou restauré</w:t>
      </w:r>
      <w:r w:rsidRPr="0000277E">
        <w:rPr>
          <w:szCs w:val="22"/>
        </w:rPr>
        <w:t xml:space="preserve"> </w:t>
      </w:r>
      <w:r w:rsidR="00D27F55">
        <w:rPr>
          <w:szCs w:val="22"/>
        </w:rPr>
        <w:fldChar w:fldCharType="begin" w:fldLock="1"/>
      </w:r>
      <w:r w:rsidR="005A6A0D">
        <w:rPr>
          <w:szCs w:val="22"/>
        </w:rPr>
        <w:instrText>ADDIN CSL_CITATION {"citationItems":[{"id":"ITEM-1","itemData":{"DOI":"10.1016/S0140-6736(18)31788-4","ISSN":"1474547X","PMID":"30660336","author":[{"dropping-particle":"","family":"Willett","given":"Walter","non-dropping-particle":"","parse-names":false,"suffix":""},{"dropping-particle":"","family":"Rockström","given":"Johan","non-dropping-particle":"","parse-names":false,"suffix":""},{"dropping-particle":"","family":"Loken","given":"Brent","non-dropping-particle":"","parse-names":false,"suffix":""},{"dropping-particle":"","family":"Springmann","given":"Marco","non-dropping-particle":"","parse-names":false,"suffix":""},{"dropping-particle":"","family":"Lang","given":"Tim","non-dropping-particle":"","parse-names":false,"suffix":""},{"dropping-particle":"","family":"Vermeulen","given":"Sonja","non-dropping-particle":"","parse-names":false,"suffix":""},{"dropping-particle":"","family":"Garnett","given":"Tara","non-dropping-particle":"","parse-names":false,"suffix":""},{"dropping-particle":"","family":"Tilman","given":"David","non-dropping-particle":"","parse-names":false,"suffix":""},{"dropping-particle":"","family":"DeClerck","given":"Fabrice","non-dropping-particle":"","parse-names":false,"suffix":""},{"dropping-particle":"","family":"Wood","given":"Amanda","non-dropping-particle":"","parse-names":false,"suffix":""},{"dropping-particle":"","family":"Jonell","given":"Malin","non-dropping-particle":"","parse-names":false,"suffix":""},{"dropping-particle":"","family":"Clark","given":"Michael","non-dropping-particle":"","parse-names":false,"suffix":""},{"dropping-particle":"","family":"Gordon","given":"Line J.","non-dropping-particle":"","parse-names":false,"suffix":""},{"dropping-particle":"","family":"Fanzo","given":"Jessica","non-dropping-particle":"","parse-names":false,"suffix":""},{"dropping-particle":"","family":"Hawkes","given":"Corinna","non-dropping-particle":"","parse-names":false,"suffix":""},{"dropping-particle":"","family":"Zurayk","given":"Rami","non-dropping-particle":"","parse-names":false,"suffix":""},{"dropping-particle":"","family":"Rivera","given":"Juan A.","non-dropping-particle":"","parse-names":false,"suffix":""},{"dropping-particle":"","family":"Vries","given":"Wim","non-dropping-particle":"De","parse-names":false,"suffix":""},{"dropping-particle":"","family":"Majele Sibanda","given":"Lindiwe","non-dropping-particle":"","parse-names":false,"suffix":""},{"dropping-particle":"","family":"Afshin","given":"Ashkan","non-dropping-particle":"","parse-names":false,"suffix":""},{"dropping-particle":"","family":"Chaudhary","given":"Abhishek","non-dropping-particle":"","parse-names":false,"suffix":""},{"dropping-particle":"","family":"Herrero","given":"Mario","non-dropping-particle":"","parse-names":false,"suffix":""},{"dropping-particle":"","family":"Agustina","given":"Rina","non-dropping-particle":"","parse-names":false,"suffix":""},{"dropping-particle":"","family":"Branca","given":"Francesco","non-dropping-particle":"","parse-names":false,"suffix":""},{"dropping-particle":"","family":"Lartey","given":"Anna","non-dropping-particle":"","parse-names":false,"suffix":""},{"dropping-particle":"","family":"Fan","given":"Shenggen","non-dropping-particle":"","parse-names":false,"suffix":""},{"dropping-particle":"","family":"Crona","given":"Beatrice","non-dropping-particle":"","parse-names":false,"suffix":""},{"dropping-particle":"","family":"Fox","given":"Elizabeth","non-dropping-particle":"","parse-names":false,"suffix":""},{"dropping-particle":"","family":"Bignet","given":"Victoria","non-dropping-particle":"","parse-names":false,"suffix":""},{"dropping-particle":"","family":"Troell","given":"Max","non-dropping-particle":"","parse-names":false,"suffix":""},{"dropping-particle":"","family":"Lindahl","given":"Therese","non-dropping-particle":"","parse-names":false,"suffix":""},{"dropping-particle":"","family":"Singh","given":"Sudhvir","non-dropping-particle":"","parse-names":false,"suffix":""},{"dropping-particle":"","family":"Cornell","given":"Sarah E.","non-dropping-particle":"","parse-names":false,"suffix":""},{"dropping-particle":"","family":"Srinath Reddy","given":"K.","non-dropping-particle":"","parse-names":false,"suffix":""},{"dropping-particle":"","family":"Narain","given":"Sunita","non-dropping-particle":"","parse-names":false,"suffix":""},{"dropping-particle":"","family":"Nishtar","given":"Sania","non-dropping-particle":"","parse-names":false,"suffix":""},{"dropping-particle":"","family":"Murray","given":"Christopher J.L.","non-dropping-particle":"","parse-names":false,"suffix":""}],"container-title":"The Lancet","id":"ITEM-1","issue":"10170","issued":{"date-parts":[["2019","2","2"]]},"page":"447-492","publisher":"Lancet Publishing Group","title":"Food in the Anthropocene: the EAT–Lancet Commission on healthy diets from sustainable food systems","type":"article","volume":"393"},"uris":["http://www.mendeley.com/documents/?uuid=78cc9b88-6732-3afe-b4ed-f95e20937ed9"]}],"mendeley":{"formattedCitation":"(Willett et al., 2019)","plainTextFormattedCitation":"(Willett et al., 2019)","previouslyFormattedCitation":"(Willett et al., 2019)"},"properties":{"noteIndex":0},"schema":"https://github.com/citation-style-language/schema/raw/master/csl-citation.json"}</w:instrText>
      </w:r>
      <w:r w:rsidR="00D27F55">
        <w:rPr>
          <w:szCs w:val="22"/>
        </w:rPr>
        <w:fldChar w:fldCharType="separate"/>
      </w:r>
      <w:r w:rsidR="005A6A0D" w:rsidRPr="005A6A0D">
        <w:rPr>
          <w:noProof/>
          <w:szCs w:val="22"/>
        </w:rPr>
        <w:t>(Willett et al., 2019)</w:t>
      </w:r>
      <w:r w:rsidR="00D27F55">
        <w:rPr>
          <w:szCs w:val="22"/>
        </w:rPr>
        <w:fldChar w:fldCharType="end"/>
      </w:r>
      <w:r w:rsidRPr="0000277E">
        <w:rPr>
          <w:szCs w:val="22"/>
        </w:rPr>
        <w:t>. Ces mêmes interventions peuvent contribuer à restaurer l'habitat et la connectivité pour la biodiversité sauvage</w:t>
      </w:r>
      <w:r w:rsidR="00D27F55">
        <w:rPr>
          <w:szCs w:val="22"/>
        </w:rPr>
        <w:t xml:space="preserve"> des zones agricoles</w:t>
      </w:r>
      <w:r w:rsidRPr="0000277E">
        <w:rPr>
          <w:szCs w:val="22"/>
        </w:rPr>
        <w:t>.</w:t>
      </w:r>
    </w:p>
    <w:p w14:paraId="34CBC03F" w14:textId="77777777" w:rsidR="00491BCF" w:rsidRPr="0000277E" w:rsidRDefault="00491BCF" w:rsidP="0000277E">
      <w:pPr>
        <w:rPr>
          <w:szCs w:val="22"/>
        </w:rPr>
      </w:pPr>
    </w:p>
    <w:p w14:paraId="079B11EC" w14:textId="77777777" w:rsidR="00491BCF" w:rsidRPr="0000277E" w:rsidRDefault="00491BCF" w:rsidP="0000277E">
      <w:pPr>
        <w:rPr>
          <w:b/>
          <w:szCs w:val="22"/>
        </w:rPr>
      </w:pPr>
      <w:r w:rsidRPr="0000277E">
        <w:rPr>
          <w:b/>
          <w:szCs w:val="22"/>
        </w:rPr>
        <w:t>• Justice environnementale et équité</w:t>
      </w:r>
    </w:p>
    <w:p w14:paraId="04546BB2" w14:textId="36B95F54" w:rsidR="003A1D62" w:rsidRPr="0000277E" w:rsidRDefault="00491BCF" w:rsidP="0000277E">
      <w:pPr>
        <w:pStyle w:val="Commentaire"/>
        <w:rPr>
          <w:sz w:val="22"/>
          <w:szCs w:val="22"/>
        </w:rPr>
      </w:pPr>
      <w:r w:rsidRPr="0000277E">
        <w:rPr>
          <w:sz w:val="22"/>
          <w:szCs w:val="22"/>
        </w:rPr>
        <w:t xml:space="preserve">Le land </w:t>
      </w:r>
      <w:proofErr w:type="spellStart"/>
      <w:r w:rsidRPr="0000277E">
        <w:rPr>
          <w:sz w:val="22"/>
          <w:szCs w:val="22"/>
        </w:rPr>
        <w:t>sparing</w:t>
      </w:r>
      <w:proofErr w:type="spellEnd"/>
      <w:r w:rsidRPr="0000277E">
        <w:rPr>
          <w:sz w:val="22"/>
          <w:szCs w:val="22"/>
        </w:rPr>
        <w:t xml:space="preserve">/land sharing doit aussi </w:t>
      </w:r>
      <w:r w:rsidR="000C3387" w:rsidRPr="0000277E">
        <w:rPr>
          <w:sz w:val="22"/>
          <w:szCs w:val="22"/>
        </w:rPr>
        <w:t>tenir compte du contexte</w:t>
      </w:r>
      <w:r w:rsidRPr="0000277E">
        <w:rPr>
          <w:sz w:val="22"/>
          <w:szCs w:val="22"/>
        </w:rPr>
        <w:t xml:space="preserve"> international. L'arbitrage est alors entre nourrir la planète tout en conservant la biodiversité</w:t>
      </w:r>
      <w:r w:rsidR="000C3387" w:rsidRPr="0000277E">
        <w:rPr>
          <w:sz w:val="22"/>
          <w:szCs w:val="22"/>
        </w:rPr>
        <w:t xml:space="preserve"> (ce qui suppose de réformer le système économique) </w:t>
      </w:r>
      <w:r w:rsidR="003A1D62" w:rsidRPr="0000277E">
        <w:rPr>
          <w:sz w:val="22"/>
          <w:szCs w:val="22"/>
        </w:rPr>
        <w:t>ou privilégier les intérêts des acteurs dominants du marché mondial.</w:t>
      </w:r>
    </w:p>
    <w:p w14:paraId="42A9006B" w14:textId="097ED9CE" w:rsidR="00491BCF" w:rsidRPr="0000277E" w:rsidRDefault="000C3387" w:rsidP="0000277E">
      <w:pPr>
        <w:rPr>
          <w:szCs w:val="22"/>
        </w:rPr>
      </w:pPr>
      <w:r w:rsidRPr="0000277E">
        <w:rPr>
          <w:szCs w:val="22"/>
        </w:rPr>
        <w:t>Il est ainsi à noter que l</w:t>
      </w:r>
      <w:r w:rsidR="00491BCF" w:rsidRPr="0000277E">
        <w:rPr>
          <w:szCs w:val="22"/>
        </w:rPr>
        <w:t xml:space="preserve">es pays riches importent une grande partie de leur consommation alimentaire, et avec ces produits souvent cultivés dans des conditions peu durables, d'importante quantité </w:t>
      </w:r>
      <w:r w:rsidR="006E1797" w:rsidRPr="0000277E">
        <w:rPr>
          <w:szCs w:val="22"/>
        </w:rPr>
        <w:t>de production primaire des terres</w:t>
      </w:r>
      <w:r w:rsidR="00491BCF" w:rsidRPr="0000277E">
        <w:rPr>
          <w:szCs w:val="22"/>
        </w:rPr>
        <w:t>, d'eau, de déforestation,</w:t>
      </w:r>
      <w:r w:rsidR="006E1797" w:rsidRPr="0000277E">
        <w:rPr>
          <w:szCs w:val="22"/>
        </w:rPr>
        <w:t xml:space="preserve"> d'émission de gaz à effet de serre</w:t>
      </w:r>
      <w:r w:rsidR="00491BCF" w:rsidRPr="0000277E">
        <w:rPr>
          <w:szCs w:val="22"/>
        </w:rPr>
        <w:t xml:space="preserve">. </w:t>
      </w:r>
    </w:p>
    <w:p w14:paraId="28B31292" w14:textId="78DC3537" w:rsidR="00CE7856" w:rsidRPr="0000277E" w:rsidRDefault="00491BCF" w:rsidP="0000277E">
      <w:pPr>
        <w:rPr>
          <w:szCs w:val="22"/>
        </w:rPr>
      </w:pPr>
      <w:r w:rsidRPr="0000277E">
        <w:rPr>
          <w:szCs w:val="22"/>
        </w:rPr>
        <w:t>Parallèlement la création d'aires protégées dans les pays du Sud</w:t>
      </w:r>
      <w:r w:rsidR="002E209D" w:rsidRPr="0000277E">
        <w:rPr>
          <w:szCs w:val="22"/>
        </w:rPr>
        <w:t xml:space="preserve"> (objectifs de 30 % négocié à la COP15)</w:t>
      </w:r>
      <w:r w:rsidRPr="0000277E">
        <w:rPr>
          <w:szCs w:val="22"/>
        </w:rPr>
        <w:t xml:space="preserve"> pose la question des droits des populations autochtones, de la reconnaissance des systèmes fonciers et coutumiers existants.</w:t>
      </w:r>
    </w:p>
    <w:p w14:paraId="57C9A9F9" w14:textId="77777777" w:rsidR="00491BCF" w:rsidRPr="0000277E" w:rsidRDefault="00491BCF" w:rsidP="0000277E">
      <w:pPr>
        <w:rPr>
          <w:rFonts w:cstheme="minorHAnsi"/>
          <w:szCs w:val="22"/>
        </w:rPr>
      </w:pPr>
    </w:p>
    <w:p w14:paraId="6E8A9237" w14:textId="17CD6DC3" w:rsidR="00491BCF" w:rsidRPr="0000277E" w:rsidRDefault="00491BCF" w:rsidP="0000277E">
      <w:pPr>
        <w:rPr>
          <w:rFonts w:cstheme="minorHAnsi"/>
          <w:b/>
          <w:szCs w:val="22"/>
        </w:rPr>
      </w:pPr>
      <w:r w:rsidRPr="0000277E">
        <w:rPr>
          <w:rFonts w:cstheme="minorHAnsi"/>
          <w:b/>
          <w:szCs w:val="22"/>
        </w:rPr>
        <w:t xml:space="preserve">• Sortir de l'opposition : </w:t>
      </w:r>
      <w:r w:rsidR="002E209D" w:rsidRPr="0000277E">
        <w:rPr>
          <w:rFonts w:cstheme="minorHAnsi"/>
          <w:b/>
          <w:szCs w:val="22"/>
        </w:rPr>
        <w:t xml:space="preserve">s’adapter à </w:t>
      </w:r>
      <w:r w:rsidRPr="0000277E">
        <w:rPr>
          <w:rFonts w:cstheme="minorHAnsi"/>
          <w:b/>
          <w:szCs w:val="22"/>
        </w:rPr>
        <w:t>des situations contrastées</w:t>
      </w:r>
    </w:p>
    <w:p w14:paraId="5518433D" w14:textId="13CA8CF2" w:rsidR="00491BCF" w:rsidRPr="0000277E" w:rsidRDefault="00491BCF" w:rsidP="0000277E">
      <w:pPr>
        <w:rPr>
          <w:szCs w:val="22"/>
        </w:rPr>
      </w:pPr>
      <w:r w:rsidRPr="0000277E">
        <w:rPr>
          <w:rFonts w:cstheme="minorHAnsi"/>
          <w:szCs w:val="22"/>
        </w:rPr>
        <w:t>Il n'y pas une seule solution</w:t>
      </w:r>
      <w:r w:rsidR="003F23AF" w:rsidRPr="0000277E">
        <w:rPr>
          <w:rFonts w:cstheme="minorHAnsi"/>
          <w:szCs w:val="22"/>
        </w:rPr>
        <w:t>.</w:t>
      </w:r>
      <w:r w:rsidRPr="0000277E">
        <w:rPr>
          <w:rFonts w:cstheme="minorHAnsi"/>
          <w:szCs w:val="22"/>
        </w:rPr>
        <w:t xml:space="preserve"> Les paramètres locaux : fertilité de la terre, topographie, type et qualité de sols, climat, mais aussi productivité du travail, statut de la terre, accès aux marchés</w:t>
      </w:r>
      <w:r w:rsidR="000C3387" w:rsidRPr="0000277E">
        <w:rPr>
          <w:rFonts w:cstheme="minorHAnsi"/>
          <w:szCs w:val="22"/>
        </w:rPr>
        <w:t>, conceptions du monde</w:t>
      </w:r>
      <w:r w:rsidRPr="0000277E">
        <w:rPr>
          <w:rFonts w:cstheme="minorHAnsi"/>
          <w:szCs w:val="22"/>
        </w:rPr>
        <w:t>... influencent les meilleurs solutions localement.</w:t>
      </w:r>
      <w:r w:rsidR="00D52298" w:rsidRPr="0000277E">
        <w:rPr>
          <w:szCs w:val="22"/>
        </w:rPr>
        <w:t xml:space="preserve"> Les choix entre zones d'habitat stable et de zones maillées pour être cultivées se font en fonction des caractéristiques des différents milieux et à des échelles différentes.</w:t>
      </w:r>
    </w:p>
    <w:p w14:paraId="139C6155" w14:textId="2AC4A459" w:rsidR="00BC3281" w:rsidRPr="0000277E" w:rsidRDefault="00491BCF" w:rsidP="0000277E">
      <w:pPr>
        <w:rPr>
          <w:rFonts w:cstheme="minorHAnsi"/>
          <w:szCs w:val="22"/>
        </w:rPr>
      </w:pPr>
      <w:r w:rsidRPr="0000277E">
        <w:rPr>
          <w:szCs w:val="22"/>
        </w:rPr>
        <w:t xml:space="preserve">Les impacts peuvent aller bien au-delà des espaces agricoles locaux (eau, évaporation, pollutions, etc..). </w:t>
      </w:r>
      <w:r w:rsidR="0000277E" w:rsidRPr="0000277E">
        <w:rPr>
          <w:szCs w:val="22"/>
        </w:rPr>
        <w:t xml:space="preserve">Evaluer </w:t>
      </w:r>
      <w:r w:rsidRPr="0000277E">
        <w:rPr>
          <w:szCs w:val="22"/>
        </w:rPr>
        <w:t xml:space="preserve">l’activité agricole </w:t>
      </w:r>
      <w:r w:rsidR="0000277E" w:rsidRPr="0000277E">
        <w:rPr>
          <w:szCs w:val="22"/>
        </w:rPr>
        <w:t>seulement sur</w:t>
      </w:r>
      <w:r w:rsidRPr="0000277E">
        <w:rPr>
          <w:szCs w:val="22"/>
        </w:rPr>
        <w:t xml:space="preserve"> un espace </w:t>
      </w:r>
      <w:r w:rsidR="0000277E" w:rsidRPr="0000277E">
        <w:rPr>
          <w:szCs w:val="22"/>
        </w:rPr>
        <w:t xml:space="preserve">localisé </w:t>
      </w:r>
      <w:r w:rsidRPr="0000277E">
        <w:rPr>
          <w:szCs w:val="22"/>
        </w:rPr>
        <w:t>n’est pas très raisonnable</w:t>
      </w:r>
      <w:r w:rsidR="004A4FC2">
        <w:rPr>
          <w:rFonts w:cstheme="minorHAnsi"/>
          <w:szCs w:val="22"/>
        </w:rPr>
        <w:t> </w:t>
      </w:r>
      <w:r w:rsidR="00BC3281" w:rsidRPr="0000277E">
        <w:rPr>
          <w:rFonts w:cstheme="minorHAnsi"/>
          <w:szCs w:val="22"/>
        </w:rPr>
        <w:t>: l’agriculture ne doit pas être raisonnée en considérant que la fertilité du sol, la pollinisation et le climat local sont des caractéristiques intrinsèques de chaque espace, mais plutôt les résultantes de processus écologiques très dépendants de la biodiversité.</w:t>
      </w:r>
    </w:p>
    <w:p w14:paraId="58384EA3" w14:textId="2252A951" w:rsidR="00D52298" w:rsidRPr="0000277E" w:rsidRDefault="00D52298" w:rsidP="0000277E">
      <w:pPr>
        <w:rPr>
          <w:szCs w:val="22"/>
        </w:rPr>
      </w:pPr>
      <w:r w:rsidRPr="0000277E">
        <w:rPr>
          <w:szCs w:val="22"/>
        </w:rPr>
        <w:t xml:space="preserve">Il faut aussi, voire surtout, raisonner en termes de biodiversité fonctionnelle : il faut des grands habitats stables et aussi des maillages suffisamment forts pour permettre des échanges afin de protéger certains espaces et de faciliter les échanges et les continuités écologiques, préserver les fonctions écologiques (pollinisation, fertilité des sols..) qui favorisent les processus de production. </w:t>
      </w:r>
    </w:p>
    <w:p w14:paraId="491BCA51" w14:textId="032DB928" w:rsidR="00D52298" w:rsidRPr="0000277E" w:rsidRDefault="00D52298" w:rsidP="0000277E">
      <w:pPr>
        <w:rPr>
          <w:szCs w:val="22"/>
        </w:rPr>
      </w:pPr>
    </w:p>
    <w:p w14:paraId="160B15B2" w14:textId="77777777" w:rsidR="008641E0" w:rsidRPr="0000277E" w:rsidRDefault="008641E0" w:rsidP="0000277E">
      <w:pPr>
        <w:rPr>
          <w:szCs w:val="22"/>
        </w:rPr>
      </w:pPr>
    </w:p>
    <w:p w14:paraId="424C179E" w14:textId="2137D23B" w:rsidR="009D1DB7" w:rsidRPr="0000277E" w:rsidRDefault="009D1DB7" w:rsidP="0000277E">
      <w:pPr>
        <w:rPr>
          <w:b/>
          <w:bCs/>
          <w:szCs w:val="22"/>
        </w:rPr>
      </w:pPr>
      <w:r w:rsidRPr="0000277E">
        <w:rPr>
          <w:b/>
          <w:bCs/>
          <w:szCs w:val="22"/>
        </w:rPr>
        <w:t xml:space="preserve">Quelques </w:t>
      </w:r>
      <w:r w:rsidR="00B70345" w:rsidRPr="0000277E">
        <w:rPr>
          <w:b/>
          <w:bCs/>
          <w:szCs w:val="22"/>
        </w:rPr>
        <w:t>réflexion</w:t>
      </w:r>
      <w:r w:rsidR="002E209D" w:rsidRPr="0000277E">
        <w:rPr>
          <w:b/>
          <w:bCs/>
          <w:szCs w:val="22"/>
        </w:rPr>
        <w:t>s transversales</w:t>
      </w:r>
    </w:p>
    <w:p w14:paraId="7C32ECF3" w14:textId="0C94A988" w:rsidR="009D1DB7" w:rsidRPr="0000277E" w:rsidRDefault="009D1DB7" w:rsidP="0000277E">
      <w:pPr>
        <w:rPr>
          <w:szCs w:val="22"/>
        </w:rPr>
      </w:pPr>
      <w:r w:rsidRPr="0000277E">
        <w:rPr>
          <w:szCs w:val="22"/>
        </w:rPr>
        <w:t xml:space="preserve">La manière dont nous utilisons les terres et dont nous produisons la biomasse conduit à se poser ces questions : où ? </w:t>
      </w:r>
      <w:r w:rsidR="002E209D" w:rsidRPr="0000277E">
        <w:rPr>
          <w:szCs w:val="22"/>
        </w:rPr>
        <w:t xml:space="preserve">comment ? </w:t>
      </w:r>
      <w:r w:rsidRPr="0000277E">
        <w:rPr>
          <w:szCs w:val="22"/>
        </w:rPr>
        <w:t xml:space="preserve">combien ? pour qui ? </w:t>
      </w:r>
    </w:p>
    <w:p w14:paraId="48B91D57" w14:textId="6DC4E9ED" w:rsidR="00B70345" w:rsidRPr="0000277E" w:rsidRDefault="00B70345" w:rsidP="0000277E">
      <w:pPr>
        <w:rPr>
          <w:szCs w:val="22"/>
        </w:rPr>
      </w:pPr>
      <w:r w:rsidRPr="0000277E">
        <w:rPr>
          <w:szCs w:val="22"/>
        </w:rPr>
        <w:t xml:space="preserve">Que signifie la </w:t>
      </w:r>
      <w:r w:rsidR="002E209D" w:rsidRPr="0000277E">
        <w:rPr>
          <w:szCs w:val="22"/>
        </w:rPr>
        <w:t>« </w:t>
      </w:r>
      <w:r w:rsidRPr="0000277E">
        <w:rPr>
          <w:szCs w:val="22"/>
        </w:rPr>
        <w:t>compétitivité économique</w:t>
      </w:r>
      <w:r w:rsidR="002E209D" w:rsidRPr="0000277E">
        <w:rPr>
          <w:szCs w:val="22"/>
        </w:rPr>
        <w:t> » à l’échelle locale, à l’échelle internationale</w:t>
      </w:r>
      <w:r w:rsidRPr="0000277E">
        <w:rPr>
          <w:szCs w:val="22"/>
        </w:rPr>
        <w:t xml:space="preserve"> ?</w:t>
      </w:r>
    </w:p>
    <w:p w14:paraId="364F1166" w14:textId="31DB004A" w:rsidR="00BC3281" w:rsidRPr="0000277E" w:rsidRDefault="00E8493A" w:rsidP="0000277E">
      <w:pPr>
        <w:rPr>
          <w:szCs w:val="22"/>
        </w:rPr>
      </w:pPr>
      <w:r w:rsidRPr="0000277E">
        <w:rPr>
          <w:szCs w:val="22"/>
        </w:rPr>
        <w:lastRenderedPageBreak/>
        <w:t>Les décisions sont-elles pensées en termes de choix</w:t>
      </w:r>
      <w:r w:rsidR="00BC3281" w:rsidRPr="0000277E">
        <w:rPr>
          <w:szCs w:val="22"/>
        </w:rPr>
        <w:t xml:space="preserve"> réversibles et adaptables</w:t>
      </w:r>
      <w:r w:rsidRPr="0000277E">
        <w:rPr>
          <w:szCs w:val="22"/>
        </w:rPr>
        <w:t> ?</w:t>
      </w:r>
    </w:p>
    <w:p w14:paraId="00A75E36" w14:textId="59F92469" w:rsidR="000445F1" w:rsidRDefault="000445F1">
      <w:pPr>
        <w:ind w:firstLine="0"/>
        <w:jc w:val="left"/>
        <w:rPr>
          <w:szCs w:val="22"/>
        </w:rPr>
      </w:pPr>
    </w:p>
    <w:p w14:paraId="11E239A0" w14:textId="77777777" w:rsidR="005A6A0D" w:rsidRDefault="005A6A0D">
      <w:pPr>
        <w:ind w:firstLine="0"/>
        <w:jc w:val="left"/>
        <w:rPr>
          <w:szCs w:val="22"/>
        </w:rPr>
      </w:pPr>
    </w:p>
    <w:p w14:paraId="3859C5A3" w14:textId="705C18F6" w:rsidR="009D1DB7" w:rsidRDefault="000445F1" w:rsidP="0000277E">
      <w:pPr>
        <w:rPr>
          <w:b/>
          <w:bCs/>
          <w:szCs w:val="22"/>
        </w:rPr>
      </w:pPr>
      <w:r>
        <w:rPr>
          <w:b/>
          <w:bCs/>
          <w:szCs w:val="22"/>
        </w:rPr>
        <w:t>Références</w:t>
      </w:r>
    </w:p>
    <w:p w14:paraId="18367BDF" w14:textId="6252EB87" w:rsidR="000445F1" w:rsidRPr="004A4FC2" w:rsidRDefault="000445F1" w:rsidP="004A4FC2">
      <w:pPr>
        <w:spacing w:after="120"/>
        <w:rPr>
          <w:b/>
          <w:bCs/>
          <w:sz w:val="20"/>
          <w:szCs w:val="20"/>
        </w:rPr>
      </w:pPr>
    </w:p>
    <w:p w14:paraId="12794987" w14:textId="402DEB98" w:rsidR="005A6A0D" w:rsidRPr="00C61543" w:rsidRDefault="000445F1" w:rsidP="005A6A0D">
      <w:pPr>
        <w:widowControl w:val="0"/>
        <w:autoSpaceDE w:val="0"/>
        <w:autoSpaceDN w:val="0"/>
        <w:adjustRightInd w:val="0"/>
        <w:spacing w:after="120"/>
        <w:ind w:left="480" w:hanging="480"/>
        <w:rPr>
          <w:rFonts w:cs="Times New Roman"/>
          <w:noProof/>
          <w:sz w:val="20"/>
          <w:szCs w:val="21"/>
          <w:lang w:val="en-US"/>
        </w:rPr>
      </w:pPr>
      <w:r w:rsidRPr="004A4FC2">
        <w:rPr>
          <w:b/>
          <w:bCs/>
          <w:sz w:val="20"/>
          <w:szCs w:val="20"/>
        </w:rPr>
        <w:fldChar w:fldCharType="begin" w:fldLock="1"/>
      </w:r>
      <w:r w:rsidRPr="004A4FC2">
        <w:rPr>
          <w:b/>
          <w:bCs/>
          <w:sz w:val="20"/>
          <w:szCs w:val="20"/>
        </w:rPr>
        <w:instrText xml:space="preserve">ADDIN Mendeley Bibliography CSL_BIBLIOGRAPHY </w:instrText>
      </w:r>
      <w:r w:rsidRPr="004A4FC2">
        <w:rPr>
          <w:b/>
          <w:bCs/>
          <w:sz w:val="20"/>
          <w:szCs w:val="20"/>
        </w:rPr>
        <w:fldChar w:fldCharType="separate"/>
      </w:r>
      <w:r w:rsidR="005A6A0D" w:rsidRPr="004A4FC2">
        <w:rPr>
          <w:rFonts w:cs="Times New Roman"/>
          <w:noProof/>
          <w:sz w:val="20"/>
          <w:szCs w:val="21"/>
        </w:rPr>
        <w:t xml:space="preserve">DeClerck, F. A., Koziell, I., Sidhu, A., Wirths, J., Benton, T., Garibaldi, L. A., Kremen, C., Maron, M., Rumbaitis del Rio, C., Clark, M., Dickens, C., Estrada-Carmona, N., Fremier, A. K., Jones, S. K., Khoury, C. K., Lal, R., Obersteiner, M., Remans, R., Rusch, A., … </w:t>
      </w:r>
      <w:r w:rsidR="005A6A0D" w:rsidRPr="00C61543">
        <w:rPr>
          <w:rFonts w:cs="Times New Roman"/>
          <w:noProof/>
          <w:sz w:val="20"/>
          <w:szCs w:val="21"/>
          <w:lang w:val="en-US"/>
        </w:rPr>
        <w:t xml:space="preserve">Winowiecki, L. (2021). </w:t>
      </w:r>
      <w:r w:rsidR="005A6A0D" w:rsidRPr="00C61543">
        <w:rPr>
          <w:rFonts w:cs="Times New Roman"/>
          <w:i/>
          <w:iCs/>
          <w:noProof/>
          <w:sz w:val="20"/>
          <w:szCs w:val="21"/>
          <w:lang w:val="en-US"/>
        </w:rPr>
        <w:t>Biodiversity and Agriculture: Rapid Evidence Review</w:t>
      </w:r>
      <w:r w:rsidR="005A6A0D" w:rsidRPr="00C61543">
        <w:rPr>
          <w:rFonts w:cs="Times New Roman"/>
          <w:noProof/>
          <w:sz w:val="20"/>
          <w:szCs w:val="21"/>
          <w:lang w:val="en-US"/>
        </w:rPr>
        <w:t>.</w:t>
      </w:r>
    </w:p>
    <w:p w14:paraId="52068DF8" w14:textId="77777777" w:rsidR="005A6A0D" w:rsidRPr="00C61543" w:rsidRDefault="005A6A0D" w:rsidP="005A6A0D">
      <w:pPr>
        <w:widowControl w:val="0"/>
        <w:autoSpaceDE w:val="0"/>
        <w:autoSpaceDN w:val="0"/>
        <w:adjustRightInd w:val="0"/>
        <w:spacing w:after="120"/>
        <w:ind w:left="480" w:hanging="480"/>
        <w:rPr>
          <w:rFonts w:cs="Times New Roman"/>
          <w:noProof/>
          <w:sz w:val="20"/>
          <w:szCs w:val="21"/>
          <w:lang w:val="en-US"/>
        </w:rPr>
      </w:pPr>
      <w:r w:rsidRPr="00C61543">
        <w:rPr>
          <w:rFonts w:cs="Times New Roman"/>
          <w:noProof/>
          <w:sz w:val="20"/>
          <w:szCs w:val="21"/>
          <w:lang w:val="en-US"/>
        </w:rPr>
        <w:t xml:space="preserve">Díaz, S., Settele, J., Brondízio, E., Ngo, H., Guèze, M., Agard, J., Arneth, A., Balvanera, P., Brauman, K., Butchart, S., Chan, K., Garibaldi, L., Ichii, K., Liu, J., Subrmanian, S., Midgley, G., Miloslavich, P., Molnár, Z., Obura, D., … Zayas, C. (2020). </w:t>
      </w:r>
      <w:r w:rsidRPr="00C61543">
        <w:rPr>
          <w:rFonts w:cs="Times New Roman"/>
          <w:i/>
          <w:iCs/>
          <w:noProof/>
          <w:sz w:val="20"/>
          <w:szCs w:val="21"/>
          <w:lang w:val="en-US"/>
        </w:rPr>
        <w:t>Summary for policymakers of the global assessment report on biodiversity and ecosystem services of the Intergovernmental Science-Policy Platform on Biodiversity and Ecosystem Services</w:t>
      </w:r>
      <w:r w:rsidRPr="00C61543">
        <w:rPr>
          <w:rFonts w:cs="Times New Roman"/>
          <w:noProof/>
          <w:sz w:val="20"/>
          <w:szCs w:val="21"/>
          <w:lang w:val="en-US"/>
        </w:rPr>
        <w:t>. https://uwe-repository.worktribe.com/output/1493508/summary-for-policymakers-of-the-global-assessment-report-on-biodiversity-and-ecosystem-services-of-the-intergovernmental-science-policy-platform-on-biodiversity-and-ecosystem-services</w:t>
      </w:r>
    </w:p>
    <w:p w14:paraId="60813956" w14:textId="77777777" w:rsidR="005A6A0D" w:rsidRPr="00C61543" w:rsidRDefault="005A6A0D" w:rsidP="005A6A0D">
      <w:pPr>
        <w:widowControl w:val="0"/>
        <w:autoSpaceDE w:val="0"/>
        <w:autoSpaceDN w:val="0"/>
        <w:adjustRightInd w:val="0"/>
        <w:spacing w:after="120"/>
        <w:ind w:left="480" w:hanging="480"/>
        <w:rPr>
          <w:rFonts w:cs="Times New Roman"/>
          <w:noProof/>
          <w:sz w:val="20"/>
          <w:szCs w:val="21"/>
          <w:lang w:val="en-US"/>
        </w:rPr>
      </w:pPr>
      <w:r w:rsidRPr="00C61543">
        <w:rPr>
          <w:rFonts w:cs="Times New Roman"/>
          <w:noProof/>
          <w:sz w:val="20"/>
          <w:szCs w:val="21"/>
          <w:lang w:val="en-US"/>
        </w:rPr>
        <w:t xml:space="preserve">Edward O. Wilson. (2016). </w:t>
      </w:r>
      <w:r w:rsidRPr="00C61543">
        <w:rPr>
          <w:rFonts w:cs="Times New Roman"/>
          <w:i/>
          <w:iCs/>
          <w:noProof/>
          <w:sz w:val="20"/>
          <w:szCs w:val="21"/>
          <w:lang w:val="en-US"/>
        </w:rPr>
        <w:t>Half-Earth: Our Planet’s Fight for Life</w:t>
      </w:r>
      <w:r w:rsidRPr="00C61543">
        <w:rPr>
          <w:rFonts w:cs="Times New Roman"/>
          <w:noProof/>
          <w:sz w:val="20"/>
          <w:szCs w:val="21"/>
          <w:lang w:val="en-US"/>
        </w:rPr>
        <w:t>. Liveright Publishing Corporation. https://books.google.fr/books?hl=fr&amp;lr=&amp;id=gft1CQAAQBAJ&amp;oi=fnd&amp;pg=PT8&amp;dq=Wilson+EO.+Half+Earth:+Our+Planet%27s+Fight+for+Life&amp;ots=VdRz6wxp7R&amp;sig=_LFZ_CdpfycmPXDUQTcqBEEaoIY&amp;redir_esc=y#v=onepage&amp;q=Wilson EO. Half Earth%3A Our Planet’s Fight for Life&amp;f=fal</w:t>
      </w:r>
    </w:p>
    <w:p w14:paraId="588174B4" w14:textId="77777777" w:rsidR="005A6A0D" w:rsidRPr="004A4FC2" w:rsidRDefault="005A6A0D" w:rsidP="005A6A0D">
      <w:pPr>
        <w:widowControl w:val="0"/>
        <w:autoSpaceDE w:val="0"/>
        <w:autoSpaceDN w:val="0"/>
        <w:adjustRightInd w:val="0"/>
        <w:spacing w:after="120"/>
        <w:ind w:left="480" w:hanging="480"/>
        <w:rPr>
          <w:rFonts w:cs="Times New Roman"/>
          <w:noProof/>
          <w:sz w:val="20"/>
          <w:szCs w:val="21"/>
        </w:rPr>
      </w:pPr>
      <w:r w:rsidRPr="00C61543">
        <w:rPr>
          <w:rFonts w:cs="Times New Roman"/>
          <w:noProof/>
          <w:sz w:val="20"/>
          <w:szCs w:val="21"/>
          <w:lang w:val="en-US"/>
        </w:rPr>
        <w:t xml:space="preserve">Hocquette, J.-F., Mollier, P., Darmon, N., &amp; Peyraud, J.-L. (2019). </w:t>
      </w:r>
      <w:r w:rsidRPr="004A4FC2">
        <w:rPr>
          <w:rFonts w:cs="Times New Roman"/>
          <w:noProof/>
          <w:sz w:val="20"/>
          <w:szCs w:val="21"/>
        </w:rPr>
        <w:t xml:space="preserve">Faut-il réduire notre consommation de viande ? </w:t>
      </w:r>
      <w:r w:rsidRPr="004A4FC2">
        <w:rPr>
          <w:rFonts w:cs="Times New Roman"/>
          <w:i/>
          <w:iCs/>
          <w:noProof/>
          <w:sz w:val="20"/>
          <w:szCs w:val="21"/>
        </w:rPr>
        <w:t>La Revue Française de La Recherche En Viandes et Produits Carnés</w:t>
      </w:r>
      <w:r w:rsidRPr="004A4FC2">
        <w:rPr>
          <w:rFonts w:cs="Times New Roman"/>
          <w:noProof/>
          <w:sz w:val="20"/>
          <w:szCs w:val="21"/>
        </w:rPr>
        <w:t xml:space="preserve">, </w:t>
      </w:r>
      <w:r w:rsidRPr="004A4FC2">
        <w:rPr>
          <w:rFonts w:cs="Times New Roman"/>
          <w:i/>
          <w:iCs/>
          <w:noProof/>
          <w:sz w:val="20"/>
          <w:szCs w:val="21"/>
        </w:rPr>
        <w:t>35</w:t>
      </w:r>
      <w:r w:rsidRPr="004A4FC2">
        <w:rPr>
          <w:rFonts w:cs="Times New Roman"/>
          <w:noProof/>
          <w:sz w:val="20"/>
          <w:szCs w:val="21"/>
        </w:rPr>
        <w:t>(2–4), 1–7. https://hal.inrae.fr/hal-02624148</w:t>
      </w:r>
    </w:p>
    <w:p w14:paraId="7966FCC5" w14:textId="77777777" w:rsidR="005A6A0D" w:rsidRPr="004A4FC2" w:rsidRDefault="005A6A0D" w:rsidP="005A6A0D">
      <w:pPr>
        <w:widowControl w:val="0"/>
        <w:autoSpaceDE w:val="0"/>
        <w:autoSpaceDN w:val="0"/>
        <w:adjustRightInd w:val="0"/>
        <w:spacing w:after="120"/>
        <w:ind w:left="480" w:hanging="480"/>
        <w:rPr>
          <w:rFonts w:cs="Times New Roman"/>
          <w:noProof/>
          <w:sz w:val="20"/>
          <w:szCs w:val="21"/>
        </w:rPr>
      </w:pPr>
      <w:r w:rsidRPr="004A4FC2">
        <w:rPr>
          <w:rFonts w:cs="Times New Roman"/>
          <w:noProof/>
          <w:sz w:val="20"/>
          <w:szCs w:val="21"/>
        </w:rPr>
        <w:t xml:space="preserve">Poux, X., &amp; Aubert, P.-M. (2018). </w:t>
      </w:r>
      <w:r w:rsidRPr="004A4FC2">
        <w:rPr>
          <w:rFonts w:cs="Times New Roman"/>
          <w:i/>
          <w:iCs/>
          <w:noProof/>
          <w:sz w:val="20"/>
          <w:szCs w:val="21"/>
        </w:rPr>
        <w:t>Institut du développement durable et des relations internationales 27, rue Saint-Guillaume 75337 Paris cedex 07 France Enseignements d’une modélisation du système alimentaire européen</w:t>
      </w:r>
      <w:r w:rsidRPr="004A4FC2">
        <w:rPr>
          <w:rFonts w:cs="Times New Roman"/>
          <w:noProof/>
          <w:sz w:val="20"/>
          <w:szCs w:val="21"/>
        </w:rPr>
        <w:t>.</w:t>
      </w:r>
    </w:p>
    <w:p w14:paraId="7EFC1A88" w14:textId="77777777" w:rsidR="005A6A0D" w:rsidRPr="00C61543" w:rsidRDefault="005A6A0D" w:rsidP="005A6A0D">
      <w:pPr>
        <w:widowControl w:val="0"/>
        <w:autoSpaceDE w:val="0"/>
        <w:autoSpaceDN w:val="0"/>
        <w:adjustRightInd w:val="0"/>
        <w:spacing w:after="120"/>
        <w:ind w:left="480" w:hanging="480"/>
        <w:rPr>
          <w:rFonts w:cs="Times New Roman"/>
          <w:noProof/>
          <w:sz w:val="20"/>
          <w:szCs w:val="21"/>
          <w:lang w:val="en-US"/>
        </w:rPr>
      </w:pPr>
      <w:r w:rsidRPr="00C61543">
        <w:rPr>
          <w:rFonts w:cs="Times New Roman"/>
          <w:noProof/>
          <w:sz w:val="20"/>
          <w:szCs w:val="21"/>
          <w:lang w:val="en-US"/>
        </w:rPr>
        <w:t xml:space="preserve">Vidal, A., Lade, S. J., Hoff, H., &amp; Rockström, J. (2020). </w:t>
      </w:r>
      <w:r w:rsidRPr="00C61543">
        <w:rPr>
          <w:rFonts w:cs="Times New Roman"/>
          <w:i/>
          <w:iCs/>
          <w:noProof/>
          <w:sz w:val="20"/>
          <w:szCs w:val="21"/>
          <w:lang w:val="en-US"/>
        </w:rPr>
        <w:t>COVID-19: a dashboard to rebuild with nature - World Business Council for Sustainable Development (WBCSD)</w:t>
      </w:r>
      <w:r w:rsidRPr="00C61543">
        <w:rPr>
          <w:rFonts w:cs="Times New Roman"/>
          <w:noProof/>
          <w:sz w:val="20"/>
          <w:szCs w:val="21"/>
          <w:lang w:val="en-US"/>
        </w:rPr>
        <w:t>. https://www.wbcsd.org/Programs/Food-and-Nature/Resources/COVID-19-a-dashboard-to-rebuild-with-nature</w:t>
      </w:r>
    </w:p>
    <w:p w14:paraId="2892D51C" w14:textId="77777777" w:rsidR="005A6A0D" w:rsidRPr="00C61543" w:rsidRDefault="005A6A0D" w:rsidP="005A6A0D">
      <w:pPr>
        <w:widowControl w:val="0"/>
        <w:autoSpaceDE w:val="0"/>
        <w:autoSpaceDN w:val="0"/>
        <w:adjustRightInd w:val="0"/>
        <w:spacing w:after="120"/>
        <w:ind w:left="480" w:hanging="480"/>
        <w:rPr>
          <w:rFonts w:cs="Times New Roman"/>
          <w:noProof/>
          <w:sz w:val="20"/>
          <w:szCs w:val="21"/>
          <w:lang w:val="en-US"/>
        </w:rPr>
      </w:pPr>
      <w:r w:rsidRPr="00C61543">
        <w:rPr>
          <w:rFonts w:cs="Times New Roman"/>
          <w:noProof/>
          <w:sz w:val="20"/>
          <w:szCs w:val="21"/>
          <w:lang w:val="en-US"/>
        </w:rPr>
        <w:t xml:space="preserve">Willett, W., Rockström, J., Loken, B., Springmann, M., Lang, T., Vermeulen, S., Garnett, T., Tilman, D., DeClerck, F., Wood, A., Jonell, M., Clark, M., Gordon, L. J., Fanzo, J., Hawkes, C., Zurayk, R., Rivera, J. A., De Vries, W., Majele Sibanda, L., … Murray, C. J. L. (2019). Food in the Anthropocene: the EAT–Lancet Commission on healthy diets from sustainable food systems. In </w:t>
      </w:r>
      <w:r w:rsidRPr="00C61543">
        <w:rPr>
          <w:rFonts w:cs="Times New Roman"/>
          <w:i/>
          <w:iCs/>
          <w:noProof/>
          <w:sz w:val="20"/>
          <w:szCs w:val="21"/>
          <w:lang w:val="en-US"/>
        </w:rPr>
        <w:t>The Lancet</w:t>
      </w:r>
      <w:r w:rsidRPr="00C61543">
        <w:rPr>
          <w:rFonts w:cs="Times New Roman"/>
          <w:noProof/>
          <w:sz w:val="20"/>
          <w:szCs w:val="21"/>
          <w:lang w:val="en-US"/>
        </w:rPr>
        <w:t xml:space="preserve"> (Vol. 393, Issue 10170, pp. 447–492). Lancet Publishing Group. https://doi.org/10.1016/S0140-6736(18)31788-4</w:t>
      </w:r>
    </w:p>
    <w:p w14:paraId="22227EF9" w14:textId="240656D6" w:rsidR="000445F1" w:rsidRPr="004A4FC2" w:rsidRDefault="000445F1" w:rsidP="004A4FC2">
      <w:pPr>
        <w:widowControl w:val="0"/>
        <w:autoSpaceDE w:val="0"/>
        <w:autoSpaceDN w:val="0"/>
        <w:adjustRightInd w:val="0"/>
        <w:spacing w:after="120"/>
        <w:ind w:left="480" w:hanging="480"/>
        <w:rPr>
          <w:b/>
          <w:bCs/>
          <w:szCs w:val="22"/>
        </w:rPr>
      </w:pPr>
      <w:r w:rsidRPr="004A4FC2">
        <w:rPr>
          <w:b/>
          <w:bCs/>
          <w:sz w:val="20"/>
          <w:szCs w:val="20"/>
        </w:rPr>
        <w:fldChar w:fldCharType="end"/>
      </w:r>
    </w:p>
    <w:sectPr w:rsidR="000445F1" w:rsidRPr="004A4FC2" w:rsidSect="00E30DE1">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D4D"/>
    <w:multiLevelType w:val="hybridMultilevel"/>
    <w:tmpl w:val="C46281CE"/>
    <w:lvl w:ilvl="0" w:tplc="542EECB0">
      <w:start w:val="1"/>
      <w:numFmt w:val="bullet"/>
      <w:lvlText w:val="•"/>
      <w:lvlJc w:val="left"/>
      <w:pPr>
        <w:tabs>
          <w:tab w:val="num" w:pos="720"/>
        </w:tabs>
        <w:ind w:left="720" w:hanging="360"/>
      </w:pPr>
      <w:rPr>
        <w:rFonts w:ascii="Arial" w:hAnsi="Arial" w:hint="default"/>
      </w:rPr>
    </w:lvl>
    <w:lvl w:ilvl="1" w:tplc="CC626C48" w:tentative="1">
      <w:start w:val="1"/>
      <w:numFmt w:val="bullet"/>
      <w:lvlText w:val="•"/>
      <w:lvlJc w:val="left"/>
      <w:pPr>
        <w:tabs>
          <w:tab w:val="num" w:pos="1440"/>
        </w:tabs>
        <w:ind w:left="1440" w:hanging="360"/>
      </w:pPr>
      <w:rPr>
        <w:rFonts w:ascii="Arial" w:hAnsi="Arial" w:hint="default"/>
      </w:rPr>
    </w:lvl>
    <w:lvl w:ilvl="2" w:tplc="8940D3C4" w:tentative="1">
      <w:start w:val="1"/>
      <w:numFmt w:val="bullet"/>
      <w:lvlText w:val="•"/>
      <w:lvlJc w:val="left"/>
      <w:pPr>
        <w:tabs>
          <w:tab w:val="num" w:pos="2160"/>
        </w:tabs>
        <w:ind w:left="2160" w:hanging="360"/>
      </w:pPr>
      <w:rPr>
        <w:rFonts w:ascii="Arial" w:hAnsi="Arial" w:hint="default"/>
      </w:rPr>
    </w:lvl>
    <w:lvl w:ilvl="3" w:tplc="8F589188" w:tentative="1">
      <w:start w:val="1"/>
      <w:numFmt w:val="bullet"/>
      <w:lvlText w:val="•"/>
      <w:lvlJc w:val="left"/>
      <w:pPr>
        <w:tabs>
          <w:tab w:val="num" w:pos="2880"/>
        </w:tabs>
        <w:ind w:left="2880" w:hanging="360"/>
      </w:pPr>
      <w:rPr>
        <w:rFonts w:ascii="Arial" w:hAnsi="Arial" w:hint="default"/>
      </w:rPr>
    </w:lvl>
    <w:lvl w:ilvl="4" w:tplc="99EC9604" w:tentative="1">
      <w:start w:val="1"/>
      <w:numFmt w:val="bullet"/>
      <w:lvlText w:val="•"/>
      <w:lvlJc w:val="left"/>
      <w:pPr>
        <w:tabs>
          <w:tab w:val="num" w:pos="3600"/>
        </w:tabs>
        <w:ind w:left="3600" w:hanging="360"/>
      </w:pPr>
      <w:rPr>
        <w:rFonts w:ascii="Arial" w:hAnsi="Arial" w:hint="default"/>
      </w:rPr>
    </w:lvl>
    <w:lvl w:ilvl="5" w:tplc="98580928" w:tentative="1">
      <w:start w:val="1"/>
      <w:numFmt w:val="bullet"/>
      <w:lvlText w:val="•"/>
      <w:lvlJc w:val="left"/>
      <w:pPr>
        <w:tabs>
          <w:tab w:val="num" w:pos="4320"/>
        </w:tabs>
        <w:ind w:left="4320" w:hanging="360"/>
      </w:pPr>
      <w:rPr>
        <w:rFonts w:ascii="Arial" w:hAnsi="Arial" w:hint="default"/>
      </w:rPr>
    </w:lvl>
    <w:lvl w:ilvl="6" w:tplc="8346A4E8" w:tentative="1">
      <w:start w:val="1"/>
      <w:numFmt w:val="bullet"/>
      <w:lvlText w:val="•"/>
      <w:lvlJc w:val="left"/>
      <w:pPr>
        <w:tabs>
          <w:tab w:val="num" w:pos="5040"/>
        </w:tabs>
        <w:ind w:left="5040" w:hanging="360"/>
      </w:pPr>
      <w:rPr>
        <w:rFonts w:ascii="Arial" w:hAnsi="Arial" w:hint="default"/>
      </w:rPr>
    </w:lvl>
    <w:lvl w:ilvl="7" w:tplc="F424C630" w:tentative="1">
      <w:start w:val="1"/>
      <w:numFmt w:val="bullet"/>
      <w:lvlText w:val="•"/>
      <w:lvlJc w:val="left"/>
      <w:pPr>
        <w:tabs>
          <w:tab w:val="num" w:pos="5760"/>
        </w:tabs>
        <w:ind w:left="5760" w:hanging="360"/>
      </w:pPr>
      <w:rPr>
        <w:rFonts w:ascii="Arial" w:hAnsi="Arial" w:hint="default"/>
      </w:rPr>
    </w:lvl>
    <w:lvl w:ilvl="8" w:tplc="97A6272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E12"/>
    <w:rsid w:val="0000277E"/>
    <w:rsid w:val="000445F1"/>
    <w:rsid w:val="000C3387"/>
    <w:rsid w:val="00144DBB"/>
    <w:rsid w:val="001920AA"/>
    <w:rsid w:val="001C1B71"/>
    <w:rsid w:val="002E209D"/>
    <w:rsid w:val="00361E12"/>
    <w:rsid w:val="003A1D62"/>
    <w:rsid w:val="003F23AF"/>
    <w:rsid w:val="00491BCF"/>
    <w:rsid w:val="004A4FC2"/>
    <w:rsid w:val="00530492"/>
    <w:rsid w:val="005362C8"/>
    <w:rsid w:val="00581BF8"/>
    <w:rsid w:val="005A6A0D"/>
    <w:rsid w:val="005C6346"/>
    <w:rsid w:val="00602A69"/>
    <w:rsid w:val="006E1797"/>
    <w:rsid w:val="007B4EF7"/>
    <w:rsid w:val="007F7136"/>
    <w:rsid w:val="00842729"/>
    <w:rsid w:val="0084595C"/>
    <w:rsid w:val="00862EB6"/>
    <w:rsid w:val="008641E0"/>
    <w:rsid w:val="009D1DB7"/>
    <w:rsid w:val="009D4079"/>
    <w:rsid w:val="00A12F33"/>
    <w:rsid w:val="00B10C5A"/>
    <w:rsid w:val="00B15206"/>
    <w:rsid w:val="00B50C75"/>
    <w:rsid w:val="00B70345"/>
    <w:rsid w:val="00B72DB3"/>
    <w:rsid w:val="00BC3281"/>
    <w:rsid w:val="00C20213"/>
    <w:rsid w:val="00C24E44"/>
    <w:rsid w:val="00C61543"/>
    <w:rsid w:val="00CB4A7F"/>
    <w:rsid w:val="00CC6C85"/>
    <w:rsid w:val="00CE7856"/>
    <w:rsid w:val="00D27F55"/>
    <w:rsid w:val="00D52298"/>
    <w:rsid w:val="00E250E9"/>
    <w:rsid w:val="00E30DE1"/>
    <w:rsid w:val="00E849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44528"/>
  <w14:defaultImageDpi w14:val="300"/>
  <w15:docId w15:val="{B93AAA27-9BAA-BD4A-80E7-F9246AE6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B3"/>
    <w:pPr>
      <w:ind w:firstLine="567"/>
      <w:jc w:val="both"/>
    </w:pPr>
    <w:rPr>
      <w:rFonts w:ascii="Times New Roman" w:hAnsi="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therine">
    <w:name w:val="Catherine"/>
    <w:basedOn w:val="Normal"/>
    <w:autoRedefine/>
    <w:qFormat/>
    <w:rsid w:val="005C6346"/>
  </w:style>
  <w:style w:type="paragraph" w:styleId="Paragraphedeliste">
    <w:name w:val="List Paragraph"/>
    <w:basedOn w:val="Normal"/>
    <w:uiPriority w:val="34"/>
    <w:qFormat/>
    <w:rsid w:val="00CB4A7F"/>
    <w:pPr>
      <w:spacing w:after="160" w:line="259" w:lineRule="auto"/>
      <w:ind w:left="720" w:firstLine="0"/>
      <w:contextualSpacing/>
      <w:jc w:val="left"/>
    </w:pPr>
    <w:rPr>
      <w:rFonts w:asciiTheme="minorHAnsi" w:eastAsiaTheme="minorHAnsi" w:hAnsiTheme="minorHAnsi"/>
      <w:szCs w:val="22"/>
      <w:lang w:eastAsia="en-US"/>
    </w:rPr>
  </w:style>
  <w:style w:type="paragraph" w:styleId="Commentaire">
    <w:name w:val="annotation text"/>
    <w:basedOn w:val="Normal"/>
    <w:link w:val="CommentaireCar"/>
    <w:uiPriority w:val="99"/>
    <w:unhideWhenUsed/>
    <w:rsid w:val="003A1D62"/>
    <w:rPr>
      <w:sz w:val="20"/>
      <w:szCs w:val="20"/>
    </w:rPr>
  </w:style>
  <w:style w:type="character" w:customStyle="1" w:styleId="CommentaireCar">
    <w:name w:val="Commentaire Car"/>
    <w:basedOn w:val="Policepardfaut"/>
    <w:link w:val="Commentaire"/>
    <w:uiPriority w:val="99"/>
    <w:rsid w:val="003A1D62"/>
    <w:rPr>
      <w:rFonts w:ascii="Times New Roman" w:hAnsi="Times New Roman"/>
      <w:sz w:val="20"/>
      <w:szCs w:val="20"/>
    </w:rPr>
  </w:style>
  <w:style w:type="character" w:styleId="Marquedecommentaire">
    <w:name w:val="annotation reference"/>
    <w:basedOn w:val="Policepardfaut"/>
    <w:uiPriority w:val="99"/>
    <w:semiHidden/>
    <w:unhideWhenUsed/>
    <w:rsid w:val="003A1D62"/>
    <w:rPr>
      <w:sz w:val="16"/>
      <w:szCs w:val="16"/>
    </w:rPr>
  </w:style>
  <w:style w:type="paragraph" w:styleId="Rvision">
    <w:name w:val="Revision"/>
    <w:hidden/>
    <w:uiPriority w:val="99"/>
    <w:semiHidden/>
    <w:rsid w:val="000445F1"/>
    <w:rPr>
      <w:rFonts w:ascii="Times New Roman" w:hAnsi="Times New Roman"/>
      <w:sz w:val="22"/>
    </w:rPr>
  </w:style>
  <w:style w:type="paragraph" w:styleId="Textedebulles">
    <w:name w:val="Balloon Text"/>
    <w:basedOn w:val="Normal"/>
    <w:link w:val="TextedebullesCar"/>
    <w:uiPriority w:val="99"/>
    <w:semiHidden/>
    <w:unhideWhenUsed/>
    <w:rsid w:val="004A4FC2"/>
    <w:rPr>
      <w:rFonts w:ascii="Lucida Grande" w:hAnsi="Lucida Grande"/>
      <w:sz w:val="18"/>
      <w:szCs w:val="18"/>
    </w:rPr>
  </w:style>
  <w:style w:type="character" w:customStyle="1" w:styleId="TextedebullesCar">
    <w:name w:val="Texte de bulles Car"/>
    <w:basedOn w:val="Policepardfaut"/>
    <w:link w:val="Textedebulles"/>
    <w:uiPriority w:val="99"/>
    <w:semiHidden/>
    <w:rsid w:val="004A4FC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6233">
      <w:bodyDiv w:val="1"/>
      <w:marLeft w:val="0"/>
      <w:marRight w:val="0"/>
      <w:marTop w:val="0"/>
      <w:marBottom w:val="0"/>
      <w:divBdr>
        <w:top w:val="none" w:sz="0" w:space="0" w:color="auto"/>
        <w:left w:val="none" w:sz="0" w:space="0" w:color="auto"/>
        <w:bottom w:val="none" w:sz="0" w:space="0" w:color="auto"/>
        <w:right w:val="none" w:sz="0" w:space="0" w:color="auto"/>
      </w:divBdr>
    </w:div>
    <w:div w:id="1236479147">
      <w:bodyDiv w:val="1"/>
      <w:marLeft w:val="0"/>
      <w:marRight w:val="0"/>
      <w:marTop w:val="0"/>
      <w:marBottom w:val="0"/>
      <w:divBdr>
        <w:top w:val="none" w:sz="0" w:space="0" w:color="auto"/>
        <w:left w:val="none" w:sz="0" w:space="0" w:color="auto"/>
        <w:bottom w:val="none" w:sz="0" w:space="0" w:color="auto"/>
        <w:right w:val="none" w:sz="0" w:space="0" w:color="auto"/>
      </w:divBdr>
    </w:div>
    <w:div w:id="1777825962">
      <w:bodyDiv w:val="1"/>
      <w:marLeft w:val="0"/>
      <w:marRight w:val="0"/>
      <w:marTop w:val="0"/>
      <w:marBottom w:val="0"/>
      <w:divBdr>
        <w:top w:val="none" w:sz="0" w:space="0" w:color="auto"/>
        <w:left w:val="none" w:sz="0" w:space="0" w:color="auto"/>
        <w:bottom w:val="none" w:sz="0" w:space="0" w:color="auto"/>
        <w:right w:val="none" w:sz="0" w:space="0" w:color="auto"/>
      </w:divBdr>
    </w:div>
    <w:div w:id="2086609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D00D28A-D18D-4143-AA97-1A9699B2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4929</Words>
  <Characters>27115</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Lecteur</cp:lastModifiedBy>
  <cp:revision>4</cp:revision>
  <dcterms:created xsi:type="dcterms:W3CDTF">2021-09-20T10:32:00Z</dcterms:created>
  <dcterms:modified xsi:type="dcterms:W3CDTF">2021-09-20T15:43:00Z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ace75d6d-8c73-3bfa-b140-0fde90c51d27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